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4C" w:rsidRPr="002B5278" w:rsidRDefault="00570FC9" w:rsidP="00D75ECA">
      <w:pPr>
        <w:pStyle w:val="211alcm"/>
        <w:spacing w:line="276" w:lineRule="auto"/>
        <w:jc w:val="center"/>
        <w:rPr>
          <w:rStyle w:val="kvr"/>
          <w:rFonts w:ascii="Times New Roman" w:hAnsi="Times New Roman" w:cs="Times New Roman"/>
          <w:b/>
          <w:sz w:val="28"/>
          <w:szCs w:val="28"/>
        </w:rPr>
      </w:pPr>
      <w:r w:rsidRPr="002B5278">
        <w:rPr>
          <w:rStyle w:val="kvr"/>
          <w:rFonts w:ascii="Times New Roman" w:hAnsi="Times New Roman" w:cs="Times New Roman"/>
          <w:b/>
          <w:sz w:val="28"/>
          <w:szCs w:val="28"/>
        </w:rPr>
        <w:t>A FÖLDRAJZI ÁRUJELZŐK OLTALMA</w:t>
      </w:r>
    </w:p>
    <w:p w:rsidR="007A465A" w:rsidRPr="002B5278" w:rsidRDefault="00CF6F54" w:rsidP="00244DC1">
      <w:pPr>
        <w:pStyle w:val="211alcm"/>
        <w:numPr>
          <w:ilvl w:val="0"/>
          <w:numId w:val="5"/>
        </w:numPr>
        <w:spacing w:after="0" w:line="276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2B5278">
        <w:rPr>
          <w:rStyle w:val="kvr"/>
          <w:rFonts w:ascii="Times New Roman" w:hAnsi="Times New Roman" w:cs="Times New Roman"/>
          <w:b/>
          <w:sz w:val="26"/>
          <w:szCs w:val="26"/>
        </w:rPr>
        <w:t>A földrajzi árujelzők</w:t>
      </w:r>
      <w:r w:rsidR="00BA5EF4" w:rsidRPr="002B5278">
        <w:rPr>
          <w:rStyle w:val="kvr"/>
          <w:rFonts w:ascii="Times New Roman" w:hAnsi="Times New Roman" w:cs="Times New Roman"/>
          <w:b/>
          <w:sz w:val="26"/>
          <w:szCs w:val="26"/>
        </w:rPr>
        <w:t xml:space="preserve"> fogalma, </w:t>
      </w:r>
      <w:r w:rsidR="00752451" w:rsidRPr="002B5278">
        <w:rPr>
          <w:rStyle w:val="kvr"/>
          <w:rFonts w:ascii="Times New Roman" w:hAnsi="Times New Roman" w:cs="Times New Roman"/>
          <w:b/>
          <w:sz w:val="26"/>
          <w:szCs w:val="26"/>
        </w:rPr>
        <w:t>rendeltetése</w:t>
      </w:r>
      <w:r w:rsidR="00023C53">
        <w:rPr>
          <w:rStyle w:val="kvr"/>
          <w:rFonts w:ascii="Times New Roman" w:hAnsi="Times New Roman" w:cs="Times New Roman"/>
          <w:b/>
          <w:sz w:val="26"/>
          <w:szCs w:val="26"/>
        </w:rPr>
        <w:t>, Tartalma</w:t>
      </w:r>
    </w:p>
    <w:p w:rsidR="00B86A1F" w:rsidRPr="002B5278" w:rsidRDefault="00B86A1F" w:rsidP="00B86A1F">
      <w:pPr>
        <w:pStyle w:val="szveg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465A" w:rsidRPr="007123AC" w:rsidRDefault="007A465A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Magyarország </w:t>
      </w:r>
      <w:r w:rsidR="00C02C0F" w:rsidRPr="007123AC">
        <w:rPr>
          <w:rFonts w:ascii="Times New Roman" w:hAnsi="Times New Roman" w:cs="Times New Roman"/>
          <w:sz w:val="24"/>
          <w:szCs w:val="24"/>
        </w:rPr>
        <w:t>hagyományosan gazdag magas minőséget képviselő és jó hírnévnek örvendő mezőgazdasági, élelmiszeripari, val</w:t>
      </w:r>
      <w:r w:rsidR="00FB4786" w:rsidRPr="007123AC">
        <w:rPr>
          <w:rFonts w:ascii="Times New Roman" w:hAnsi="Times New Roman" w:cs="Times New Roman"/>
          <w:sz w:val="24"/>
          <w:szCs w:val="24"/>
        </w:rPr>
        <w:t xml:space="preserve">amint kézművesipari termékekben, </w:t>
      </w:r>
      <w:r w:rsidR="00B46D84" w:rsidRPr="007123AC">
        <w:rPr>
          <w:rFonts w:ascii="Times New Roman" w:hAnsi="Times New Roman" w:cs="Times New Roman"/>
          <w:sz w:val="24"/>
          <w:szCs w:val="24"/>
        </w:rPr>
        <w:t>emellett a hazai gazdaságban</w:t>
      </w:r>
      <w:r w:rsidR="00526E6E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FB4786" w:rsidRPr="007123AC">
        <w:rPr>
          <w:rFonts w:ascii="Times New Roman" w:hAnsi="Times New Roman" w:cs="Times New Roman"/>
          <w:sz w:val="24"/>
          <w:szCs w:val="24"/>
        </w:rPr>
        <w:t>az említett</w:t>
      </w:r>
      <w:r w:rsidRPr="007123AC">
        <w:rPr>
          <w:rFonts w:ascii="Times New Roman" w:hAnsi="Times New Roman" w:cs="Times New Roman"/>
          <w:sz w:val="24"/>
          <w:szCs w:val="24"/>
        </w:rPr>
        <w:t xml:space="preserve"> iparágakhoz sz</w:t>
      </w:r>
      <w:r w:rsidR="00FB4786" w:rsidRPr="007123AC">
        <w:rPr>
          <w:rFonts w:ascii="Times New Roman" w:hAnsi="Times New Roman" w:cs="Times New Roman"/>
          <w:sz w:val="24"/>
          <w:szCs w:val="24"/>
        </w:rPr>
        <w:t>orosan kapcsolódó bortermelés</w:t>
      </w:r>
      <w:r w:rsidRPr="007123AC">
        <w:rPr>
          <w:rFonts w:ascii="Times New Roman" w:hAnsi="Times New Roman" w:cs="Times New Roman"/>
          <w:sz w:val="24"/>
          <w:szCs w:val="24"/>
        </w:rPr>
        <w:t xml:space="preserve"> is</w:t>
      </w:r>
      <w:r w:rsidR="00B46D84" w:rsidRPr="007123AC">
        <w:rPr>
          <w:rFonts w:ascii="Times New Roman" w:hAnsi="Times New Roman" w:cs="Times New Roman"/>
          <w:sz w:val="24"/>
          <w:szCs w:val="24"/>
        </w:rPr>
        <w:t xml:space="preserve"> különösen nagy</w:t>
      </w:r>
      <w:r w:rsidR="00C02C0F" w:rsidRPr="007123AC">
        <w:rPr>
          <w:rFonts w:ascii="Times New Roman" w:hAnsi="Times New Roman" w:cs="Times New Roman"/>
          <w:sz w:val="24"/>
          <w:szCs w:val="24"/>
        </w:rPr>
        <w:t xml:space="preserve"> jelentőséggel bír</w:t>
      </w:r>
      <w:r w:rsidR="00A763AE" w:rsidRPr="007123AC">
        <w:rPr>
          <w:rFonts w:ascii="Times New Roman" w:hAnsi="Times New Roman" w:cs="Times New Roman"/>
          <w:sz w:val="24"/>
          <w:szCs w:val="24"/>
        </w:rPr>
        <w:t xml:space="preserve">. Erre tekintettel </w:t>
      </w:r>
      <w:r w:rsidR="00D97FC4" w:rsidRPr="007123AC">
        <w:rPr>
          <w:rFonts w:ascii="Times New Roman" w:hAnsi="Times New Roman" w:cs="Times New Roman"/>
          <w:sz w:val="24"/>
          <w:szCs w:val="24"/>
        </w:rPr>
        <w:t>fontos érdek fűződik ahhoz</w:t>
      </w:r>
      <w:r w:rsidR="00B7416E" w:rsidRPr="007123AC">
        <w:rPr>
          <w:rFonts w:ascii="Times New Roman" w:hAnsi="Times New Roman" w:cs="Times New Roman"/>
          <w:sz w:val="24"/>
          <w:szCs w:val="24"/>
        </w:rPr>
        <w:t>, hogy</w:t>
      </w:r>
      <w:r w:rsidR="004D0A8E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>a</w:t>
      </w:r>
      <w:r w:rsidR="00C02C0F" w:rsidRPr="007123AC">
        <w:rPr>
          <w:rFonts w:ascii="Times New Roman" w:hAnsi="Times New Roman" w:cs="Times New Roman"/>
          <w:sz w:val="24"/>
          <w:szCs w:val="24"/>
        </w:rPr>
        <w:t xml:space="preserve"> kiváló minőségű, meghatározott földrajzi területhez</w:t>
      </w:r>
      <w:r w:rsidR="00F83ACC" w:rsidRPr="007123AC">
        <w:rPr>
          <w:rFonts w:ascii="Times New Roman" w:hAnsi="Times New Roman" w:cs="Times New Roman"/>
          <w:sz w:val="24"/>
          <w:szCs w:val="24"/>
        </w:rPr>
        <w:t>, régióhoz</w:t>
      </w:r>
      <w:r w:rsidR="00C02C0F" w:rsidRPr="007123AC">
        <w:rPr>
          <w:rFonts w:ascii="Times New Roman" w:hAnsi="Times New Roman" w:cs="Times New Roman"/>
          <w:sz w:val="24"/>
          <w:szCs w:val="24"/>
        </w:rPr>
        <w:t xml:space="preserve"> kapcsolódó termékek </w:t>
      </w:r>
      <w:r w:rsidR="00A840DD" w:rsidRPr="007123AC">
        <w:rPr>
          <w:rFonts w:ascii="Times New Roman" w:hAnsi="Times New Roman" w:cs="Times New Roman"/>
          <w:sz w:val="24"/>
          <w:szCs w:val="24"/>
        </w:rPr>
        <w:t>oltalmát hatékony fellépést</w:t>
      </w:r>
      <w:r w:rsidR="00AB7548" w:rsidRPr="007123AC">
        <w:rPr>
          <w:rFonts w:ascii="Times New Roman" w:hAnsi="Times New Roman" w:cs="Times New Roman"/>
          <w:sz w:val="24"/>
          <w:szCs w:val="24"/>
        </w:rPr>
        <w:t xml:space="preserve"> biztosító</w:t>
      </w:r>
      <w:r w:rsidR="00A840DD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4D0A8E" w:rsidRPr="007123AC">
        <w:rPr>
          <w:rFonts w:ascii="Times New Roman" w:hAnsi="Times New Roman" w:cs="Times New Roman"/>
          <w:sz w:val="24"/>
          <w:szCs w:val="24"/>
        </w:rPr>
        <w:t>modern jogi e</w:t>
      </w:r>
      <w:r w:rsidR="00B7416E" w:rsidRPr="007123AC">
        <w:rPr>
          <w:rFonts w:ascii="Times New Roman" w:hAnsi="Times New Roman" w:cs="Times New Roman"/>
          <w:sz w:val="24"/>
          <w:szCs w:val="24"/>
        </w:rPr>
        <w:t>szközök és jogintézmények garantálják.</w:t>
      </w:r>
    </w:p>
    <w:p w:rsidR="009139D9" w:rsidRPr="007123AC" w:rsidRDefault="00C02C0F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</w:t>
      </w:r>
      <w:r w:rsidR="00530C44" w:rsidRPr="007123AC">
        <w:rPr>
          <w:rFonts w:ascii="Times New Roman" w:hAnsi="Times New Roman" w:cs="Times New Roman"/>
          <w:sz w:val="24"/>
          <w:szCs w:val="24"/>
        </w:rPr>
        <w:t xml:space="preserve">z iparjogvédelmi szabályozás rendszerén belül alapvetően a </w:t>
      </w:r>
      <w:proofErr w:type="spellStart"/>
      <w:r w:rsidR="00530C44" w:rsidRPr="007123AC">
        <w:rPr>
          <w:rFonts w:ascii="Times New Roman" w:hAnsi="Times New Roman" w:cs="Times New Roman"/>
          <w:sz w:val="24"/>
          <w:szCs w:val="24"/>
        </w:rPr>
        <w:t>föld</w:t>
      </w:r>
      <w:r w:rsidR="00E57E0C" w:rsidRPr="007123AC">
        <w:rPr>
          <w:rFonts w:ascii="Times New Roman" w:hAnsi="Times New Roman" w:cs="Times New Roman"/>
          <w:sz w:val="24"/>
          <w:szCs w:val="24"/>
        </w:rPr>
        <w:t>rajzi</w:t>
      </w:r>
      <w:r w:rsidR="00530C44" w:rsidRPr="007123AC">
        <w:rPr>
          <w:rFonts w:ascii="Times New Roman" w:hAnsi="Times New Roman" w:cs="Times New Roman"/>
          <w:sz w:val="24"/>
          <w:szCs w:val="24"/>
        </w:rPr>
        <w:t>árujelző</w:t>
      </w:r>
      <w:r w:rsidR="00D82D5D" w:rsidRPr="007123AC">
        <w:rPr>
          <w:rFonts w:ascii="Times New Roman" w:hAnsi="Times New Roman" w:cs="Times New Roman"/>
          <w:sz w:val="24"/>
          <w:szCs w:val="24"/>
        </w:rPr>
        <w:t>-</w:t>
      </w:r>
      <w:r w:rsidR="00530C44" w:rsidRPr="007123AC">
        <w:rPr>
          <w:rFonts w:ascii="Times New Roman" w:hAnsi="Times New Roman" w:cs="Times New Roman"/>
          <w:sz w:val="24"/>
          <w:szCs w:val="24"/>
        </w:rPr>
        <w:t>oltalom</w:t>
      </w:r>
      <w:proofErr w:type="spellEnd"/>
      <w:r w:rsidR="00530C44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526E6E" w:rsidRPr="007123AC">
        <w:rPr>
          <w:rFonts w:ascii="Times New Roman" w:hAnsi="Times New Roman" w:cs="Times New Roman"/>
          <w:sz w:val="24"/>
          <w:szCs w:val="24"/>
        </w:rPr>
        <w:t xml:space="preserve">az, amely </w:t>
      </w:r>
      <w:r w:rsidR="00D1535A" w:rsidRPr="007123AC">
        <w:rPr>
          <w:rFonts w:ascii="Times New Roman" w:hAnsi="Times New Roman" w:cs="Times New Roman"/>
          <w:sz w:val="24"/>
          <w:szCs w:val="24"/>
        </w:rPr>
        <w:t>–</w:t>
      </w:r>
      <w:r w:rsidR="00526E6E" w:rsidRPr="007123AC">
        <w:rPr>
          <w:rFonts w:ascii="Times New Roman" w:hAnsi="Times New Roman" w:cs="Times New Roman"/>
          <w:sz w:val="24"/>
          <w:szCs w:val="24"/>
        </w:rPr>
        <w:t xml:space="preserve"> a termékek minőségi jellemzői és származási területük között bizonyíthatóan fennálló kapcsolatot elismerve – hozzájárul a minőség és a ha</w:t>
      </w:r>
      <w:r w:rsidR="00542042" w:rsidRPr="007123AC">
        <w:rPr>
          <w:rFonts w:ascii="Times New Roman" w:hAnsi="Times New Roman" w:cs="Times New Roman"/>
          <w:sz w:val="24"/>
          <w:szCs w:val="24"/>
        </w:rPr>
        <w:t xml:space="preserve">gyományok megőrzéséhez, </w:t>
      </w:r>
      <w:proofErr w:type="gramStart"/>
      <w:r w:rsidR="00542042" w:rsidRPr="007123AC">
        <w:rPr>
          <w:rFonts w:ascii="Times New Roman" w:hAnsi="Times New Roman" w:cs="Times New Roman"/>
          <w:sz w:val="24"/>
          <w:szCs w:val="24"/>
        </w:rPr>
        <w:t>továbbá</w:t>
      </w:r>
      <w:proofErr w:type="gramEnd"/>
      <w:r w:rsidR="00542042" w:rsidRPr="007123AC">
        <w:rPr>
          <w:rFonts w:ascii="Times New Roman" w:hAnsi="Times New Roman" w:cs="Times New Roman"/>
          <w:sz w:val="24"/>
          <w:szCs w:val="24"/>
        </w:rPr>
        <w:t xml:space="preserve"> elősegíti </w:t>
      </w:r>
      <w:r w:rsidR="006B3444" w:rsidRPr="007123AC">
        <w:rPr>
          <w:rFonts w:ascii="Times New Roman" w:hAnsi="Times New Roman" w:cs="Times New Roman"/>
          <w:sz w:val="24"/>
          <w:szCs w:val="24"/>
        </w:rPr>
        <w:t>a különböző áruk</w:t>
      </w:r>
      <w:r w:rsidR="001B14CE" w:rsidRPr="007123AC">
        <w:rPr>
          <w:rFonts w:ascii="Times New Roman" w:hAnsi="Times New Roman" w:cs="Times New Roman"/>
          <w:sz w:val="24"/>
          <w:szCs w:val="24"/>
        </w:rPr>
        <w:t xml:space="preserve"> minőségét és </w:t>
      </w:r>
      <w:r w:rsidR="006B3444" w:rsidRPr="007123AC">
        <w:rPr>
          <w:rFonts w:ascii="Times New Roman" w:hAnsi="Times New Roman" w:cs="Times New Roman"/>
          <w:sz w:val="24"/>
          <w:szCs w:val="24"/>
        </w:rPr>
        <w:t xml:space="preserve">eredetét </w:t>
      </w:r>
      <w:r w:rsidR="001B14CE" w:rsidRPr="007123AC">
        <w:rPr>
          <w:rFonts w:ascii="Times New Roman" w:hAnsi="Times New Roman" w:cs="Times New Roman"/>
          <w:sz w:val="24"/>
          <w:szCs w:val="24"/>
        </w:rPr>
        <w:t>érintő</w:t>
      </w:r>
      <w:r w:rsidR="00542042" w:rsidRPr="007123AC">
        <w:rPr>
          <w:rFonts w:ascii="Times New Roman" w:hAnsi="Times New Roman" w:cs="Times New Roman"/>
          <w:sz w:val="24"/>
          <w:szCs w:val="24"/>
        </w:rPr>
        <w:t xml:space="preserve"> széles körű fogyasztói</w:t>
      </w:r>
      <w:r w:rsidR="001B14CE" w:rsidRPr="007123AC">
        <w:rPr>
          <w:rFonts w:ascii="Times New Roman" w:hAnsi="Times New Roman" w:cs="Times New Roman"/>
          <w:sz w:val="24"/>
          <w:szCs w:val="24"/>
        </w:rPr>
        <w:t xml:space="preserve"> tájékozta</w:t>
      </w:r>
      <w:r w:rsidR="00542042" w:rsidRPr="007123AC">
        <w:rPr>
          <w:rFonts w:ascii="Times New Roman" w:hAnsi="Times New Roman" w:cs="Times New Roman"/>
          <w:sz w:val="24"/>
          <w:szCs w:val="24"/>
        </w:rPr>
        <w:t>tást</w:t>
      </w:r>
      <w:r w:rsidR="00526E6E" w:rsidRPr="007123AC">
        <w:rPr>
          <w:rFonts w:ascii="Times New Roman" w:hAnsi="Times New Roman" w:cs="Times New Roman"/>
          <w:sz w:val="24"/>
          <w:szCs w:val="24"/>
        </w:rPr>
        <w:t>.</w:t>
      </w:r>
      <w:r w:rsidR="009139D9" w:rsidRPr="0071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6B" w:rsidRPr="007123AC" w:rsidRDefault="006E4D6B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földrajzi árujelzők</w:t>
      </w:r>
      <w:r w:rsidRPr="007123AC">
        <w:rPr>
          <w:rFonts w:ascii="Times New Roman" w:hAnsi="Times New Roman" w:cs="Times New Roman"/>
          <w:sz w:val="24"/>
          <w:szCs w:val="24"/>
        </w:rPr>
        <w:t xml:space="preserve"> olyan megjelölések, amelyek egy</w:t>
      </w:r>
      <w:r w:rsidRPr="0071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földrajzi megnevezést</w:t>
      </w:r>
      <w:r w:rsidRPr="0071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>tartalmaznak (vagy egyértelműen egy meghatározott földrajzi területre utalnak), és amelyekhez t</w:t>
      </w:r>
      <w:r w:rsidR="00D551DC" w:rsidRPr="007123AC">
        <w:rPr>
          <w:rFonts w:ascii="Times New Roman" w:hAnsi="Times New Roman" w:cs="Times New Roman"/>
          <w:sz w:val="24"/>
          <w:szCs w:val="24"/>
        </w:rPr>
        <w:t>öbblet-jelentéstartalom járul</w:t>
      </w:r>
      <w:r w:rsidR="0064717C" w:rsidRPr="007123AC">
        <w:rPr>
          <w:rFonts w:ascii="Times New Roman" w:hAnsi="Times New Roman" w:cs="Times New Roman"/>
          <w:sz w:val="24"/>
          <w:szCs w:val="24"/>
        </w:rPr>
        <w:t xml:space="preserve"> – </w:t>
      </w:r>
      <w:r w:rsidRPr="007123AC">
        <w:rPr>
          <w:rFonts w:ascii="Times New Roman" w:hAnsi="Times New Roman" w:cs="Times New Roman"/>
          <w:sz w:val="24"/>
          <w:szCs w:val="24"/>
        </w:rPr>
        <w:t xml:space="preserve">egyfelől a hozzájuk kötődő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termékek</w:t>
      </w:r>
      <w:r w:rsidRPr="007123AC">
        <w:rPr>
          <w:rFonts w:ascii="Times New Roman" w:hAnsi="Times New Roman" w:cs="Times New Roman"/>
          <w:sz w:val="24"/>
          <w:szCs w:val="24"/>
        </w:rPr>
        <w:t xml:space="preserve">, másfelől pedig az érintett termékek valamely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tulajdonsága, minősége vagy hírneve és a</w:t>
      </w:r>
      <w:r w:rsidRPr="007123AC">
        <w:rPr>
          <w:rFonts w:ascii="Times New Roman" w:hAnsi="Times New Roman" w:cs="Times New Roman"/>
          <w:sz w:val="24"/>
          <w:szCs w:val="24"/>
        </w:rPr>
        <w:t xml:space="preserve"> megjelölés által felhívott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földrajzi terület közötti kapcsolat</w:t>
      </w:r>
      <w:r w:rsidR="00A82A47" w:rsidRPr="007123AC">
        <w:rPr>
          <w:rFonts w:ascii="Times New Roman" w:hAnsi="Times New Roman" w:cs="Times New Roman"/>
          <w:sz w:val="24"/>
          <w:szCs w:val="24"/>
        </w:rPr>
        <w:t xml:space="preserve"> révén</w:t>
      </w:r>
      <w:r w:rsidRPr="007123AC">
        <w:rPr>
          <w:rFonts w:ascii="Times New Roman" w:hAnsi="Times New Roman" w:cs="Times New Roman"/>
          <w:sz w:val="24"/>
          <w:szCs w:val="24"/>
        </w:rPr>
        <w:t xml:space="preserve">. </w:t>
      </w:r>
      <w:r w:rsidR="001512B5" w:rsidRPr="007123AC">
        <w:rPr>
          <w:rFonts w:ascii="Times New Roman" w:hAnsi="Times New Roman" w:cs="Times New Roman"/>
          <w:sz w:val="24"/>
          <w:szCs w:val="24"/>
        </w:rPr>
        <w:t xml:space="preserve">Fontos megjegyezni, hogy </w:t>
      </w:r>
      <w:r w:rsidR="001D4A23" w:rsidRPr="007123AC">
        <w:rPr>
          <w:rFonts w:ascii="Times New Roman" w:hAnsi="Times New Roman" w:cs="Times New Roman"/>
          <w:sz w:val="24"/>
          <w:szCs w:val="24"/>
        </w:rPr>
        <w:t xml:space="preserve">a földrajzi árujelzőktől eltérően </w:t>
      </w:r>
      <w:r w:rsidR="001512B5" w:rsidRPr="007123AC">
        <w:rPr>
          <w:rFonts w:ascii="Times New Roman" w:hAnsi="Times New Roman" w:cs="Times New Roman"/>
          <w:sz w:val="24"/>
          <w:szCs w:val="24"/>
        </w:rPr>
        <w:t>a</w:t>
      </w:r>
      <w:r w:rsidR="008A4FB2" w:rsidRPr="007123AC">
        <w:rPr>
          <w:rFonts w:ascii="Times New Roman" w:hAnsi="Times New Roman" w:cs="Times New Roman"/>
          <w:sz w:val="24"/>
          <w:szCs w:val="24"/>
        </w:rPr>
        <w:t xml:space="preserve">z egyszerű származásjelzések </w:t>
      </w:r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(„Made </w:t>
      </w:r>
      <w:proofErr w:type="spellStart"/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in</w:t>
      </w:r>
      <w:proofErr w:type="spellEnd"/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EU”, „</w:t>
      </w:r>
      <w:proofErr w:type="spellStart"/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product</w:t>
      </w:r>
      <w:proofErr w:type="spellEnd"/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China</w:t>
      </w:r>
      <w:proofErr w:type="spellEnd"/>
      <w:r w:rsidR="008A4FB2"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”)</w:t>
      </w:r>
      <w:r w:rsidR="008A4FB2" w:rsidRPr="007123AC">
        <w:rPr>
          <w:rFonts w:ascii="Times New Roman" w:hAnsi="Times New Roman" w:cs="Times New Roman"/>
          <w:sz w:val="24"/>
          <w:szCs w:val="24"/>
        </w:rPr>
        <w:t xml:space="preserve"> csupán egy adott termék földrajzi erede</w:t>
      </w:r>
      <w:r w:rsidR="00280C6C" w:rsidRPr="007123AC">
        <w:rPr>
          <w:rFonts w:ascii="Times New Roman" w:hAnsi="Times New Roman" w:cs="Times New Roman"/>
          <w:sz w:val="24"/>
          <w:szCs w:val="24"/>
        </w:rPr>
        <w:t xml:space="preserve">tének feltüntetését szolgálják </w:t>
      </w:r>
      <w:r w:rsidR="008A4FB2" w:rsidRPr="007123AC">
        <w:rPr>
          <w:rFonts w:ascii="Times New Roman" w:hAnsi="Times New Roman" w:cs="Times New Roman"/>
          <w:sz w:val="24"/>
          <w:szCs w:val="24"/>
        </w:rPr>
        <w:t>anélkül, hogy utalnának az áru bizonyos sajátosságaira, vagy minőségére. Az ilyen jelzések – amennyiben a valóságnak megfelelnek – bá</w:t>
      </w:r>
      <w:r w:rsidR="008278AE" w:rsidRPr="007123AC">
        <w:rPr>
          <w:rFonts w:ascii="Times New Roman" w:hAnsi="Times New Roman" w:cs="Times New Roman"/>
          <w:sz w:val="24"/>
          <w:szCs w:val="24"/>
        </w:rPr>
        <w:t>rki által szabadon használhatók.</w:t>
      </w:r>
    </w:p>
    <w:p w:rsidR="00A4576B" w:rsidRPr="007123AC" w:rsidRDefault="00A4576B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földrajziárujelző-oltalom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lényege és célja, hogy a meghatározott területen termelők számára az adott földrajzi terület, táj, helység megjelölésének használatára kizárólagos jogokat adjon, ezáltal ösztönözze a megbízható eredetű, minőségű, a többi terméktől egyértelműen megkülönböztethető jelzéssel ellátott termékek eljutását a fogyasztókhoz. A földrajzi árujelzők a fogyasztói termékválasztásban is fontos szerepet töltenek be azáltal, hogy a termékek eredetéről – közvetett módon azok minőségéről – világos és tömör tájékoztatást nyújtanak.</w:t>
      </w:r>
    </w:p>
    <w:p w:rsidR="001A5E74" w:rsidRPr="007123AC" w:rsidRDefault="00DF7714" w:rsidP="007123AC">
      <w:pPr>
        <w:pStyle w:val="felsorolsABC2mm"/>
        <w:spacing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 földrajzi árujelzőkhöz kapcsolódó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iparjogvédelmi oltalom</w:t>
      </w:r>
      <w:r w:rsidR="009D23D5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2A07A2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kollektív jogosultságot eredményez, mivel </w:t>
      </w:r>
      <w:r w:rsidR="00677A59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a földrajzi árujelző használatára </w:t>
      </w:r>
      <w:r w:rsidR="00A554FE" w:rsidRPr="007123AC">
        <w:rPr>
          <w:rFonts w:ascii="Times New Roman" w:hAnsi="Times New Roman" w:cs="Times New Roman"/>
          <w:sz w:val="24"/>
          <w:szCs w:val="24"/>
        </w:rPr>
        <w:t xml:space="preserve">az </w:t>
      </w:r>
      <w:r w:rsidR="00254D75" w:rsidRPr="007123AC">
        <w:rPr>
          <w:rFonts w:ascii="Times New Roman" w:hAnsi="Times New Roman" w:cs="Times New Roman"/>
          <w:sz w:val="24"/>
          <w:szCs w:val="24"/>
        </w:rPr>
        <w:t xml:space="preserve">érintett termékeket a </w:t>
      </w:r>
      <w:r w:rsidR="009E0E48" w:rsidRPr="007123AC">
        <w:rPr>
          <w:rFonts w:ascii="Times New Roman" w:hAnsi="Times New Roman" w:cs="Times New Roman"/>
          <w:sz w:val="24"/>
          <w:szCs w:val="24"/>
        </w:rPr>
        <w:t xml:space="preserve">megjelölés </w:t>
      </w:r>
      <w:r w:rsidR="00D95DBA" w:rsidRPr="007123AC">
        <w:rPr>
          <w:rFonts w:ascii="Times New Roman" w:hAnsi="Times New Roman" w:cs="Times New Roman"/>
          <w:sz w:val="24"/>
          <w:szCs w:val="24"/>
        </w:rPr>
        <w:t xml:space="preserve">szerinti </w:t>
      </w:r>
      <w:r w:rsidR="00A554FE" w:rsidRPr="007123AC">
        <w:rPr>
          <w:rFonts w:ascii="Times New Roman" w:hAnsi="Times New Roman" w:cs="Times New Roman"/>
          <w:sz w:val="24"/>
          <w:szCs w:val="24"/>
        </w:rPr>
        <w:t xml:space="preserve">földrajzi területen (adott esetben a termékleírásban meghatározott követelményeknek megfelelően) előállító, illetve feldolgozó személyek </w:t>
      </w:r>
      <w:r w:rsidR="00CB3BF4" w:rsidRPr="007123AC">
        <w:rPr>
          <w:rFonts w:ascii="Times New Roman" w:hAnsi="Times New Roman" w:cs="Times New Roman"/>
          <w:sz w:val="24"/>
          <w:szCs w:val="24"/>
        </w:rPr>
        <w:t>valamennyien</w:t>
      </w:r>
      <w:r w:rsidR="005E27B8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A554FE" w:rsidRPr="007123AC">
        <w:rPr>
          <w:rFonts w:ascii="Times New Roman" w:hAnsi="Times New Roman" w:cs="Times New Roman"/>
          <w:sz w:val="24"/>
          <w:szCs w:val="24"/>
        </w:rPr>
        <w:t>jogosultak</w:t>
      </w:r>
      <w:r w:rsidR="001A5E74" w:rsidRPr="007123AC">
        <w:rPr>
          <w:rFonts w:ascii="Times New Roman" w:hAnsi="Times New Roman" w:cs="Times New Roman"/>
          <w:sz w:val="24"/>
          <w:szCs w:val="24"/>
        </w:rPr>
        <w:t>.</w:t>
      </w:r>
      <w:r w:rsidR="009E0E48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DF7FF0" w:rsidRPr="007123AC">
        <w:rPr>
          <w:rFonts w:ascii="Times New Roman" w:hAnsi="Times New Roman" w:cs="Times New Roman"/>
          <w:sz w:val="24"/>
          <w:szCs w:val="24"/>
        </w:rPr>
        <w:t>Fontos azonba</w:t>
      </w:r>
      <w:r w:rsidR="00894DBF" w:rsidRPr="007123AC">
        <w:rPr>
          <w:rFonts w:ascii="Times New Roman" w:hAnsi="Times New Roman" w:cs="Times New Roman"/>
          <w:sz w:val="24"/>
          <w:szCs w:val="24"/>
        </w:rPr>
        <w:t>n</w:t>
      </w:r>
      <w:r w:rsidR="00DF7FF0" w:rsidRPr="007123AC">
        <w:rPr>
          <w:rFonts w:ascii="Times New Roman" w:hAnsi="Times New Roman" w:cs="Times New Roman"/>
          <w:sz w:val="24"/>
          <w:szCs w:val="24"/>
        </w:rPr>
        <w:t xml:space="preserve">, hogy </w:t>
      </w:r>
      <w:r w:rsidR="002A07A2" w:rsidRPr="007123A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A07A2" w:rsidRPr="007123AC">
        <w:rPr>
          <w:rFonts w:ascii="Times New Roman" w:hAnsi="Times New Roman" w:cs="Times New Roman"/>
          <w:sz w:val="24"/>
          <w:szCs w:val="24"/>
        </w:rPr>
        <w:t>földrajziárujelző-oltalomból</w:t>
      </w:r>
      <w:proofErr w:type="spellEnd"/>
      <w:r w:rsidR="002A07A2" w:rsidRPr="007123AC">
        <w:rPr>
          <w:rFonts w:ascii="Times New Roman" w:hAnsi="Times New Roman" w:cs="Times New Roman"/>
          <w:sz w:val="24"/>
          <w:szCs w:val="24"/>
        </w:rPr>
        <w:t xml:space="preserve"> eredő kizárólagos jogok</w:t>
      </w:r>
      <w:r w:rsidR="0076534C" w:rsidRPr="007123AC">
        <w:rPr>
          <w:rFonts w:ascii="Times New Roman" w:hAnsi="Times New Roman" w:cs="Times New Roman"/>
          <w:sz w:val="24"/>
          <w:szCs w:val="24"/>
        </w:rPr>
        <w:t>at</w:t>
      </w:r>
      <w:r w:rsidR="00C914F4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2A07A2" w:rsidRPr="007123AC">
        <w:rPr>
          <w:rFonts w:ascii="Times New Roman" w:hAnsi="Times New Roman" w:cs="Times New Roman"/>
          <w:sz w:val="24"/>
          <w:szCs w:val="24"/>
        </w:rPr>
        <w:t>csak</w:t>
      </w:r>
      <w:r w:rsidR="00254D75" w:rsidRPr="007123AC">
        <w:rPr>
          <w:rFonts w:ascii="Times New Roman" w:hAnsi="Times New Roman" w:cs="Times New Roman"/>
          <w:sz w:val="24"/>
          <w:szCs w:val="24"/>
        </w:rPr>
        <w:t xml:space="preserve"> a</w:t>
      </w:r>
      <w:r w:rsidR="00222CEB" w:rsidRPr="007123AC">
        <w:rPr>
          <w:rFonts w:ascii="Times New Roman" w:hAnsi="Times New Roman" w:cs="Times New Roman"/>
          <w:sz w:val="24"/>
          <w:szCs w:val="24"/>
        </w:rPr>
        <w:t>z említett</w:t>
      </w:r>
      <w:r w:rsidR="00CE39CB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93046E" w:rsidRPr="007123AC">
        <w:rPr>
          <w:rFonts w:ascii="Times New Roman" w:hAnsi="Times New Roman" w:cs="Times New Roman"/>
          <w:sz w:val="24"/>
          <w:szCs w:val="24"/>
        </w:rPr>
        <w:t>személy</w:t>
      </w:r>
      <w:r w:rsidR="00894DBF" w:rsidRPr="007123AC">
        <w:rPr>
          <w:rFonts w:ascii="Times New Roman" w:hAnsi="Times New Roman" w:cs="Times New Roman"/>
          <w:sz w:val="24"/>
          <w:szCs w:val="24"/>
        </w:rPr>
        <w:t>i körbe tartozók</w:t>
      </w:r>
      <w:r w:rsidR="002A07A2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76534C" w:rsidRPr="007123AC">
        <w:rPr>
          <w:rFonts w:ascii="Times New Roman" w:hAnsi="Times New Roman" w:cs="Times New Roman"/>
          <w:sz w:val="24"/>
          <w:szCs w:val="24"/>
        </w:rPr>
        <w:t>gyakorolhatják</w:t>
      </w:r>
      <w:r w:rsidR="007209D3" w:rsidRPr="007123AC">
        <w:rPr>
          <w:rFonts w:ascii="Times New Roman" w:hAnsi="Times New Roman" w:cs="Times New Roman"/>
          <w:sz w:val="24"/>
          <w:szCs w:val="24"/>
        </w:rPr>
        <w:t xml:space="preserve">, </w:t>
      </w:r>
      <w:r w:rsidR="00E43358">
        <w:rPr>
          <w:rFonts w:ascii="Times New Roman" w:hAnsi="Times New Roman" w:cs="Times New Roman"/>
          <w:sz w:val="24"/>
          <w:szCs w:val="24"/>
        </w:rPr>
        <w:t xml:space="preserve">így </w:t>
      </w:r>
      <w:r w:rsidR="007209D3" w:rsidRPr="007123AC">
        <w:rPr>
          <w:rFonts w:ascii="Times New Roman" w:hAnsi="Times New Roman" w:cs="Times New Roman"/>
          <w:sz w:val="24"/>
          <w:szCs w:val="24"/>
        </w:rPr>
        <w:t>a</w:t>
      </w:r>
      <w:r w:rsidR="00E43358">
        <w:rPr>
          <w:rFonts w:ascii="Times New Roman" w:hAnsi="Times New Roman" w:cs="Times New Roman"/>
          <w:sz w:val="24"/>
          <w:szCs w:val="24"/>
        </w:rPr>
        <w:t>z oltalom alatt álló</w:t>
      </w:r>
      <w:r w:rsidR="00282D93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7209D3" w:rsidRPr="007123AC">
        <w:rPr>
          <w:rFonts w:ascii="Times New Roman" w:hAnsi="Times New Roman" w:cs="Times New Roman"/>
          <w:sz w:val="24"/>
          <w:szCs w:val="24"/>
        </w:rPr>
        <w:t xml:space="preserve">földrajzi árujelző használatára </w:t>
      </w:r>
      <w:r w:rsidR="00B77F12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engedély</w:t>
      </w:r>
      <w:r w:rsidR="009E0E48" w:rsidRPr="007123AC">
        <w:rPr>
          <w:rStyle w:val="kvr"/>
          <w:rFonts w:ascii="Times New Roman" w:hAnsi="Times New Roman" w:cs="Times New Roman"/>
          <w:bCs/>
          <w:sz w:val="24"/>
          <w:szCs w:val="24"/>
        </w:rPr>
        <w:t xml:space="preserve"> </w:t>
      </w:r>
      <w:r w:rsidR="00B77F12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(licenci</w:t>
      </w:r>
      <w:r w:rsidR="009E0E48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a</w:t>
      </w:r>
      <w:r w:rsidR="00B77F12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) </w:t>
      </w:r>
      <w:r w:rsidR="009E0E48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nem adható</w:t>
      </w:r>
      <w:r w:rsidR="00AC6CD3" w:rsidRPr="007123AC">
        <w:rPr>
          <w:rFonts w:ascii="Times New Roman" w:hAnsi="Times New Roman" w:cs="Times New Roman"/>
          <w:sz w:val="24"/>
          <w:szCs w:val="24"/>
        </w:rPr>
        <w:t xml:space="preserve">, és </w:t>
      </w:r>
      <w:r w:rsidR="00B77F12" w:rsidRPr="007123AC">
        <w:rPr>
          <w:rFonts w:ascii="Times New Roman" w:hAnsi="Times New Roman" w:cs="Times New Roman"/>
          <w:sz w:val="24"/>
          <w:szCs w:val="24"/>
        </w:rPr>
        <w:t>a</w:t>
      </w:r>
      <w:r w:rsidR="007209D3" w:rsidRPr="007123AC">
        <w:rPr>
          <w:rFonts w:ascii="Times New Roman" w:hAnsi="Times New Roman" w:cs="Times New Roman"/>
          <w:sz w:val="24"/>
          <w:szCs w:val="24"/>
        </w:rPr>
        <w:t xml:space="preserve">z </w:t>
      </w:r>
      <w:r w:rsidR="00B77F12" w:rsidRPr="007123AC">
        <w:rPr>
          <w:rFonts w:ascii="Times New Roman" w:hAnsi="Times New Roman" w:cs="Times New Roman"/>
          <w:sz w:val="24"/>
          <w:szCs w:val="24"/>
        </w:rPr>
        <w:t>oltal</w:t>
      </w:r>
      <w:r w:rsidR="007209D3" w:rsidRPr="007123AC">
        <w:rPr>
          <w:rFonts w:ascii="Times New Roman" w:hAnsi="Times New Roman" w:cs="Times New Roman"/>
          <w:sz w:val="24"/>
          <w:szCs w:val="24"/>
        </w:rPr>
        <w:t>om</w:t>
      </w:r>
      <w:r w:rsidR="00B77F12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B77F12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átruházás</w:t>
      </w:r>
      <w:r w:rsidR="00AC6CD3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a is értelemszerűen kizárt</w:t>
      </w:r>
      <w:r w:rsidR="00B77F12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.</w:t>
      </w:r>
      <w:r w:rsidR="00B77F12" w:rsidRPr="007123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FDC" w:rsidRPr="007123AC" w:rsidRDefault="00E13106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földrajzi árujelzők</w:t>
      </w:r>
      <w:r w:rsidR="00F576FB" w:rsidRPr="007123AC">
        <w:rPr>
          <w:rFonts w:ascii="Times New Roman" w:hAnsi="Times New Roman" w:cs="Times New Roman"/>
          <w:sz w:val="24"/>
          <w:szCs w:val="24"/>
        </w:rPr>
        <w:t xml:space="preserve"> kizárólagos</w:t>
      </w:r>
      <w:r w:rsidR="00DF7714" w:rsidRPr="007123AC">
        <w:rPr>
          <w:rFonts w:ascii="Times New Roman" w:hAnsi="Times New Roman" w:cs="Times New Roman"/>
          <w:sz w:val="24"/>
          <w:szCs w:val="24"/>
        </w:rPr>
        <w:t xml:space="preserve"> használatára vonatkozó</w:t>
      </w:r>
      <w:r w:rsidR="00F576FB" w:rsidRPr="007123AC">
        <w:rPr>
          <w:rFonts w:ascii="Times New Roman" w:hAnsi="Times New Roman" w:cs="Times New Roman"/>
          <w:sz w:val="24"/>
          <w:szCs w:val="24"/>
        </w:rPr>
        <w:t xml:space="preserve"> jog magában </w:t>
      </w:r>
      <w:r w:rsidRPr="007123AC">
        <w:rPr>
          <w:rFonts w:ascii="Times New Roman" w:hAnsi="Times New Roman" w:cs="Times New Roman"/>
          <w:sz w:val="24"/>
          <w:szCs w:val="24"/>
        </w:rPr>
        <w:t xml:space="preserve">foglalja a </w:t>
      </w:r>
      <w:r w:rsidR="00BD1413" w:rsidRPr="007123AC">
        <w:rPr>
          <w:rFonts w:ascii="Times New Roman" w:hAnsi="Times New Roman" w:cs="Times New Roman"/>
          <w:sz w:val="24"/>
          <w:szCs w:val="24"/>
        </w:rPr>
        <w:t xml:space="preserve">földrajzi árujelzőt </w:t>
      </w:r>
      <w:r w:rsidR="00BD1413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jogosulatlanul használók elleni fellépés</w:t>
      </w:r>
      <w:r w:rsidRPr="007123AC">
        <w:rPr>
          <w:rFonts w:ascii="Times New Roman" w:hAnsi="Times New Roman" w:cs="Times New Roman"/>
          <w:sz w:val="24"/>
          <w:szCs w:val="24"/>
        </w:rPr>
        <w:t xml:space="preserve"> lehetőségét is.</w:t>
      </w:r>
      <w:r w:rsidR="00BD1413" w:rsidRPr="007123AC">
        <w:rPr>
          <w:rFonts w:ascii="Times New Roman" w:hAnsi="Times New Roman" w:cs="Times New Roman"/>
          <w:sz w:val="24"/>
          <w:szCs w:val="24"/>
        </w:rPr>
        <w:t xml:space="preserve"> A jogosulatlan használat jelentheti az oltalom alatt álló földrajzi árujelzőnek nem az adott földrajzi területről származó termékeken való használatát, illetve – ahol az ún. </w:t>
      </w:r>
      <w:proofErr w:type="gramStart"/>
      <w:r w:rsidR="00BD1413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termékleírás</w:t>
      </w:r>
      <w:proofErr w:type="gramEnd"/>
      <w:r w:rsidR="00BD1413" w:rsidRPr="007123AC">
        <w:rPr>
          <w:rFonts w:ascii="Times New Roman" w:hAnsi="Times New Roman" w:cs="Times New Roman"/>
          <w:sz w:val="24"/>
          <w:szCs w:val="24"/>
        </w:rPr>
        <w:t xml:space="preserve"> az oltalom előfeltételét képezi – a megjelölés olyan termékeken való használatát, amelyeket nem a hatáskörrel rendelkező hatóság által jóváhagyott termékleírásnak megfelelően állítottak elő. </w:t>
      </w:r>
      <w:r w:rsidR="00B3247E" w:rsidRPr="007123AC">
        <w:rPr>
          <w:rFonts w:ascii="Times New Roman" w:hAnsi="Times New Roman" w:cs="Times New Roman"/>
          <w:sz w:val="24"/>
          <w:szCs w:val="24"/>
        </w:rPr>
        <w:t xml:space="preserve">Fontos megjegyezni, </w:t>
      </w:r>
      <w:r w:rsidR="00537677" w:rsidRPr="007123AC">
        <w:rPr>
          <w:rFonts w:ascii="Times New Roman" w:hAnsi="Times New Roman" w:cs="Times New Roman"/>
          <w:sz w:val="24"/>
          <w:szCs w:val="24"/>
        </w:rPr>
        <w:t>hogy a hatályos szabályozás szerint j</w:t>
      </w:r>
      <w:r w:rsidR="008E2925" w:rsidRPr="007123AC">
        <w:rPr>
          <w:rFonts w:ascii="Times New Roman" w:hAnsi="Times New Roman" w:cs="Times New Roman"/>
          <w:sz w:val="24"/>
          <w:szCs w:val="24"/>
        </w:rPr>
        <w:t>ogosulatlannak minősül az oltalom alatt álló földrajzi árujelző használat</w:t>
      </w:r>
      <w:r w:rsidR="006D2E56" w:rsidRPr="007123AC">
        <w:rPr>
          <w:rFonts w:ascii="Times New Roman" w:hAnsi="Times New Roman" w:cs="Times New Roman"/>
          <w:sz w:val="24"/>
          <w:szCs w:val="24"/>
        </w:rPr>
        <w:t xml:space="preserve">a, </w:t>
      </w:r>
      <w:r w:rsidR="009317C8" w:rsidRPr="007123AC">
        <w:rPr>
          <w:rFonts w:ascii="Times New Roman" w:hAnsi="Times New Roman" w:cs="Times New Roman"/>
          <w:sz w:val="24"/>
          <w:szCs w:val="24"/>
        </w:rPr>
        <w:t>a földrajzi árujelzőre</w:t>
      </w:r>
      <w:r w:rsidR="006D2E56" w:rsidRPr="007123AC">
        <w:rPr>
          <w:rFonts w:ascii="Times New Roman" w:hAnsi="Times New Roman" w:cs="Times New Roman"/>
          <w:sz w:val="24"/>
          <w:szCs w:val="24"/>
        </w:rPr>
        <w:t xml:space="preserve"> való bármilyen utalás vagy annak utánzása </w:t>
      </w:r>
      <w:r w:rsidR="00537677" w:rsidRPr="007123AC">
        <w:rPr>
          <w:rFonts w:ascii="Times New Roman" w:hAnsi="Times New Roman" w:cs="Times New Roman"/>
          <w:sz w:val="24"/>
          <w:szCs w:val="24"/>
        </w:rPr>
        <w:t>akkor is</w:t>
      </w:r>
      <w:r w:rsidR="008E2925" w:rsidRPr="007123AC">
        <w:rPr>
          <w:rFonts w:ascii="Times New Roman" w:hAnsi="Times New Roman" w:cs="Times New Roman"/>
          <w:sz w:val="24"/>
          <w:szCs w:val="24"/>
        </w:rPr>
        <w:t>,</w:t>
      </w:r>
      <w:r w:rsidR="006D2E56" w:rsidRPr="007123AC">
        <w:rPr>
          <w:rFonts w:ascii="Times New Roman" w:hAnsi="Times New Roman" w:cs="Times New Roman"/>
          <w:sz w:val="24"/>
          <w:szCs w:val="24"/>
        </w:rPr>
        <w:t xml:space="preserve"> ha</w:t>
      </w:r>
      <w:r w:rsidR="008E2925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537677" w:rsidRPr="007123AC">
        <w:rPr>
          <w:rFonts w:ascii="Times New Roman" w:hAnsi="Times New Roman" w:cs="Times New Roman"/>
          <w:sz w:val="24"/>
          <w:szCs w:val="24"/>
        </w:rPr>
        <w:t>az érintett földrajzi név megjelenítése mellett azt is egyértelművé teszik, hogy a termék nem erről a területről származik (pl. „jellegű”, „típusú”, „</w:t>
      </w:r>
      <w:proofErr w:type="spellStart"/>
      <w:r w:rsidR="00537677" w:rsidRPr="007123AC">
        <w:rPr>
          <w:rFonts w:ascii="Times New Roman" w:hAnsi="Times New Roman" w:cs="Times New Roman"/>
          <w:sz w:val="24"/>
          <w:szCs w:val="24"/>
        </w:rPr>
        <w:t>-szerű</w:t>
      </w:r>
      <w:proofErr w:type="spellEnd"/>
      <w:r w:rsidR="00537677" w:rsidRPr="007123AC">
        <w:rPr>
          <w:rFonts w:ascii="Times New Roman" w:hAnsi="Times New Roman" w:cs="Times New Roman"/>
          <w:sz w:val="24"/>
          <w:szCs w:val="24"/>
        </w:rPr>
        <w:t>” kitételek alkalmazásával).</w:t>
      </w:r>
      <w:r w:rsidR="00FA3268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8E2925" w:rsidRPr="007123AC">
        <w:rPr>
          <w:rFonts w:ascii="Times New Roman" w:hAnsi="Times New Roman" w:cs="Times New Roman"/>
          <w:sz w:val="24"/>
          <w:szCs w:val="24"/>
        </w:rPr>
        <w:t xml:space="preserve">A termékekhez kapcsolódó csomagolóanyagon vagy dokumentáción nem szabad feltüntetni továbbá semmilyen olyan megjelölést, amely a termék származására nézve – a földrajzi árujelzővel visszaélve – a termék eredetéről </w:t>
      </w:r>
      <w:r w:rsidR="009E3CC4">
        <w:rPr>
          <w:rFonts w:ascii="Times New Roman" w:hAnsi="Times New Roman" w:cs="Times New Roman"/>
          <w:sz w:val="24"/>
          <w:szCs w:val="24"/>
        </w:rPr>
        <w:t>megtévesztő</w:t>
      </w:r>
      <w:r w:rsidR="008E2925" w:rsidRPr="007123AC">
        <w:rPr>
          <w:rFonts w:ascii="Times New Roman" w:hAnsi="Times New Roman" w:cs="Times New Roman"/>
          <w:sz w:val="24"/>
          <w:szCs w:val="24"/>
        </w:rPr>
        <w:t xml:space="preserve"> benyomást közvetít, és tartózkodni kell minden olyan kereskedelmi gyakorlattól, amely a termék valódi eredetére nézve téves képzeteket kelthet a fogyasztókban.</w:t>
      </w:r>
    </w:p>
    <w:p w:rsidR="009E786C" w:rsidRPr="007123AC" w:rsidRDefault="009E786C" w:rsidP="007123AC">
      <w:pPr>
        <w:pStyle w:val="211alcm"/>
        <w:numPr>
          <w:ilvl w:val="0"/>
          <w:numId w:val="5"/>
        </w:numPr>
        <w:spacing w:before="0" w:after="100" w:afterAutospacing="1" w:line="360" w:lineRule="auto"/>
        <w:ind w:left="340"/>
        <w:rPr>
          <w:rStyle w:val="kvr"/>
          <w:rFonts w:ascii="Times New Roman" w:hAnsi="Times New Roman" w:cs="Times New Roman"/>
          <w:b/>
          <w:sz w:val="26"/>
          <w:szCs w:val="26"/>
        </w:rPr>
      </w:pP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 xml:space="preserve">A földrajzi árujelzők kapcsolata </w:t>
      </w:r>
      <w:proofErr w:type="gramStart"/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 xml:space="preserve"> védjegyekkel</w:t>
      </w:r>
    </w:p>
    <w:p w:rsidR="009E786C" w:rsidRPr="007123AC" w:rsidRDefault="009E786C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földrajzi árujelzők oltalmának jogpolitikai indokai részben eltérnek az árujelzők másik nagy iparjogvédelmi kategóriáját képező védjegyek oltalmának rendeltetésétől; az előbbiek esetében a minőségi garancia, a fogyasztóvédelem, a kulturális megőrzés és a helyi közösségek támogatása legalább olyan fontos szerepet játszik, mint az oltalom versenyeszközként</w:t>
      </w:r>
      <w:r w:rsidRPr="0071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 xml:space="preserve">való felhasználása vagy a termék eredetének megjelölése. </w:t>
      </w:r>
    </w:p>
    <w:p w:rsidR="009E786C" w:rsidRPr="007123AC" w:rsidRDefault="009E786C" w:rsidP="007123AC">
      <w:pPr>
        <w:pStyle w:val="felsorolsABC2mm"/>
        <w:spacing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Bár a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földrajzi árujelzők és a védjegyek azonos módon az áruk azonosítását szolgáló árujelzőknek minősülnek</w:t>
      </w:r>
      <w:r w:rsidRPr="007123AC">
        <w:rPr>
          <w:rFonts w:ascii="Times New Roman" w:hAnsi="Times New Roman" w:cs="Times New Roman"/>
          <w:sz w:val="24"/>
          <w:szCs w:val="24"/>
        </w:rPr>
        <w:t>, a két oltalmi formához kapcsolódó jogosultságok tekintetében eltérések mutatkoznak</w:t>
      </w:r>
      <w:r w:rsidR="00C67122" w:rsidRPr="007123AC">
        <w:rPr>
          <w:rFonts w:ascii="Times New Roman" w:hAnsi="Times New Roman" w:cs="Times New Roman"/>
          <w:sz w:val="24"/>
          <w:szCs w:val="24"/>
        </w:rPr>
        <w:t xml:space="preserve">, </w:t>
      </w:r>
      <w:r w:rsidR="00D004FC" w:rsidRPr="007123AC">
        <w:rPr>
          <w:rFonts w:ascii="Times New Roman" w:hAnsi="Times New Roman" w:cs="Times New Roman"/>
          <w:sz w:val="24"/>
          <w:szCs w:val="24"/>
        </w:rPr>
        <w:t>lévén, hogy</w:t>
      </w:r>
      <w:r w:rsidR="00C67122" w:rsidRPr="007123AC">
        <w:rPr>
          <w:rFonts w:ascii="Times New Roman" w:hAnsi="Times New Roman" w:cs="Times New Roman"/>
          <w:sz w:val="24"/>
          <w:szCs w:val="24"/>
        </w:rPr>
        <w:t xml:space="preserve"> a </w:t>
      </w:r>
      <w:r w:rsidR="005E27B8" w:rsidRPr="007123AC">
        <w:rPr>
          <w:rFonts w:ascii="Times New Roman" w:hAnsi="Times New Roman" w:cs="Times New Roman"/>
          <w:sz w:val="24"/>
          <w:szCs w:val="24"/>
        </w:rPr>
        <w:t xml:space="preserve">védjegyoltalom garantálta, egyedül a védjegyjogosultat megillető kizárólagos jogokkal szemben a földrajzi árujelzők oltalma – a fentiekben kifejtettek szerint – </w:t>
      </w:r>
      <w:r w:rsidR="005E27B8"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kollektív jogosultságot</w:t>
      </w:r>
      <w:r w:rsidR="00FB0554" w:rsidRPr="007123AC">
        <w:rPr>
          <w:rFonts w:ascii="Times New Roman" w:hAnsi="Times New Roman" w:cs="Times New Roman"/>
          <w:sz w:val="24"/>
          <w:szCs w:val="24"/>
        </w:rPr>
        <w:t xml:space="preserve"> eredményez. E</w:t>
      </w:r>
      <w:r w:rsidR="00BB648A" w:rsidRPr="007123AC">
        <w:rPr>
          <w:rFonts w:ascii="Times New Roman" w:hAnsi="Times New Roman" w:cs="Times New Roman"/>
          <w:sz w:val="24"/>
          <w:szCs w:val="24"/>
        </w:rPr>
        <w:t>z indokolja azt is, hogy</w:t>
      </w:r>
      <w:r w:rsidR="00FB0554" w:rsidRPr="007123AC">
        <w:rPr>
          <w:rFonts w:ascii="Times New Roman" w:hAnsi="Times New Roman" w:cs="Times New Roman"/>
          <w:sz w:val="24"/>
          <w:szCs w:val="24"/>
        </w:rPr>
        <w:t xml:space="preserve"> a földrajzi árujelzőkről vezetett</w:t>
      </w:r>
      <w:r w:rsidR="00BB648A" w:rsidRPr="007123AC">
        <w:rPr>
          <w:rFonts w:ascii="Times New Roman" w:hAnsi="Times New Roman" w:cs="Times New Roman"/>
          <w:sz w:val="24"/>
          <w:szCs w:val="24"/>
        </w:rPr>
        <w:t xml:space="preserve"> lajstrom n</w:t>
      </w:r>
      <w:r w:rsidR="005E27B8" w:rsidRPr="007123AC">
        <w:rPr>
          <w:rFonts w:ascii="Times New Roman" w:hAnsi="Times New Roman" w:cs="Times New Roman"/>
          <w:sz w:val="24"/>
          <w:szCs w:val="24"/>
        </w:rPr>
        <w:t>em tartalmazza az egyes jogosultak nevét és el</w:t>
      </w:r>
      <w:r w:rsidR="00FB0554" w:rsidRPr="007123AC">
        <w:rPr>
          <w:rFonts w:ascii="Times New Roman" w:hAnsi="Times New Roman" w:cs="Times New Roman"/>
          <w:sz w:val="24"/>
          <w:szCs w:val="24"/>
        </w:rPr>
        <w:t xml:space="preserve">érhetőségét, hiszen ezek nem </w:t>
      </w:r>
      <w:proofErr w:type="spellStart"/>
      <w:r w:rsidR="005E27B8" w:rsidRPr="007123AC">
        <w:rPr>
          <w:rFonts w:ascii="Times New Roman" w:hAnsi="Times New Roman" w:cs="Times New Roman"/>
          <w:sz w:val="24"/>
          <w:szCs w:val="24"/>
        </w:rPr>
        <w:t>nevesíthetők</w:t>
      </w:r>
      <w:proofErr w:type="spellEnd"/>
      <w:r w:rsidR="00C67122" w:rsidRPr="007123AC">
        <w:rPr>
          <w:rFonts w:ascii="Times New Roman" w:hAnsi="Times New Roman" w:cs="Times New Roman"/>
          <w:sz w:val="24"/>
          <w:szCs w:val="24"/>
        </w:rPr>
        <w:t xml:space="preserve"> úgy, mint a védjegyek jogosultjai.</w:t>
      </w:r>
      <w:r w:rsidR="005E27B8" w:rsidRPr="0071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5B8" w:rsidRPr="007123AC" w:rsidRDefault="00D22DAF" w:rsidP="007123AC">
      <w:pPr>
        <w:pStyle w:val="felsorolsABC2mm"/>
        <w:spacing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További eltérés, hogy míg a védjegyoltalom jogosultja a védjegyét bármikor másra átruházhatja, illetőleg a védjegy használatára másnak </w:t>
      </w:r>
      <w:r w:rsidR="00D43577" w:rsidRPr="007123AC">
        <w:rPr>
          <w:rFonts w:ascii="Times New Roman" w:hAnsi="Times New Roman" w:cs="Times New Roman"/>
          <w:sz w:val="24"/>
          <w:szCs w:val="24"/>
        </w:rPr>
        <w:t xml:space="preserve">bármikor </w:t>
      </w:r>
      <w:r w:rsidRPr="007123AC">
        <w:rPr>
          <w:rFonts w:ascii="Times New Roman" w:hAnsi="Times New Roman" w:cs="Times New Roman"/>
          <w:sz w:val="24"/>
          <w:szCs w:val="24"/>
        </w:rPr>
        <w:t xml:space="preserve">engedélyt adhat, a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földrajziárujelző-oltalom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átruházására, illetőleg használatának átengedésére </w:t>
      </w:r>
      <w:r w:rsidR="00CB16B4" w:rsidRPr="007123AC">
        <w:rPr>
          <w:rFonts w:ascii="Times New Roman" w:hAnsi="Times New Roman" w:cs="Times New Roman"/>
          <w:sz w:val="24"/>
          <w:szCs w:val="24"/>
        </w:rPr>
        <w:t>– az oltalom természetéből adódóan – nincs lehetőség.</w:t>
      </w:r>
    </w:p>
    <w:p w:rsidR="009E786C" w:rsidRPr="007123AC" w:rsidRDefault="009E786C" w:rsidP="007123AC">
      <w:pPr>
        <w:pStyle w:val="felsorolsABC2mm"/>
        <w:spacing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Szemben a védjegyoltalommal, a földrajzi árujelzők oltalma – ha a hatáskörrel rendelkező hatóság engedélyezte –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határozatlan ideig áll fenn,</w:t>
      </w:r>
      <w:r w:rsidRPr="007123AC">
        <w:rPr>
          <w:rFonts w:ascii="Times New Roman" w:hAnsi="Times New Roman" w:cs="Times New Roman"/>
          <w:sz w:val="24"/>
          <w:szCs w:val="24"/>
        </w:rPr>
        <w:t xml:space="preserve"> azaz nem függ egy bizonyos idő leteltétől, és nem kell a fenntartásáért vagy megújításáért díjat sem fizetni. Az oltalom alatt álló földrajzi árujelző törlésére azonban van lehetőség.</w:t>
      </w:r>
    </w:p>
    <w:p w:rsidR="00A42920" w:rsidRPr="007123AC" w:rsidRDefault="000D0120" w:rsidP="007123AC">
      <w:pPr>
        <w:pStyle w:val="felsorolsABC2mm"/>
        <w:spacing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A védjegyek és a földrajzi árujelzők </w:t>
      </w:r>
      <w:r w:rsidR="008F243B" w:rsidRPr="007123AC">
        <w:rPr>
          <w:rFonts w:ascii="Times New Roman" w:hAnsi="Times New Roman" w:cs="Times New Roman"/>
          <w:sz w:val="24"/>
          <w:szCs w:val="24"/>
        </w:rPr>
        <w:t>konf</w:t>
      </w:r>
      <w:r w:rsidR="00093844" w:rsidRPr="007123AC">
        <w:rPr>
          <w:rFonts w:ascii="Times New Roman" w:hAnsi="Times New Roman" w:cs="Times New Roman"/>
          <w:sz w:val="24"/>
          <w:szCs w:val="24"/>
        </w:rPr>
        <w:t>liktusa</w:t>
      </w:r>
      <w:r w:rsidR="008F243B" w:rsidRPr="007123AC">
        <w:rPr>
          <w:rFonts w:ascii="Times New Roman" w:hAnsi="Times New Roman" w:cs="Times New Roman"/>
          <w:sz w:val="24"/>
          <w:szCs w:val="24"/>
        </w:rPr>
        <w:t xml:space="preserve"> általában </w:t>
      </w:r>
      <w:r w:rsidR="00093844" w:rsidRPr="007123AC">
        <w:rPr>
          <w:rFonts w:ascii="Times New Roman" w:hAnsi="Times New Roman" w:cs="Times New Roman"/>
          <w:sz w:val="24"/>
          <w:szCs w:val="24"/>
        </w:rPr>
        <w:t>a</w:t>
      </w:r>
      <w:r w:rsidR="008F243B" w:rsidRPr="007123AC">
        <w:rPr>
          <w:rFonts w:ascii="Times New Roman" w:hAnsi="Times New Roman" w:cs="Times New Roman"/>
          <w:sz w:val="24"/>
          <w:szCs w:val="24"/>
        </w:rPr>
        <w:t>z utóbbiak</w:t>
      </w:r>
      <w:r w:rsidR="00C8701D" w:rsidRPr="007123AC">
        <w:rPr>
          <w:rFonts w:ascii="Times New Roman" w:hAnsi="Times New Roman" w:cs="Times New Roman"/>
          <w:sz w:val="24"/>
          <w:szCs w:val="24"/>
        </w:rPr>
        <w:t xml:space="preserve"> számára</w:t>
      </w:r>
      <w:r w:rsidR="008F243B" w:rsidRPr="007123AC">
        <w:rPr>
          <w:rFonts w:ascii="Times New Roman" w:hAnsi="Times New Roman" w:cs="Times New Roman"/>
          <w:sz w:val="24"/>
          <w:szCs w:val="24"/>
        </w:rPr>
        <w:t xml:space="preserve"> kedvező eredménnyel </w:t>
      </w:r>
      <w:r w:rsidR="00181332">
        <w:rPr>
          <w:rFonts w:ascii="Times New Roman" w:hAnsi="Times New Roman" w:cs="Times New Roman"/>
          <w:sz w:val="24"/>
          <w:szCs w:val="24"/>
        </w:rPr>
        <w:t>kerül feloldásra</w:t>
      </w:r>
      <w:r w:rsidR="002C0721" w:rsidRPr="007123AC">
        <w:rPr>
          <w:rFonts w:ascii="Times New Roman" w:hAnsi="Times New Roman" w:cs="Times New Roman"/>
          <w:sz w:val="24"/>
          <w:szCs w:val="24"/>
        </w:rPr>
        <w:t xml:space="preserve">. </w:t>
      </w:r>
      <w:r w:rsidR="009E786C" w:rsidRPr="007123AC">
        <w:rPr>
          <w:rFonts w:ascii="Times New Roman" w:hAnsi="Times New Roman" w:cs="Times New Roman"/>
          <w:sz w:val="24"/>
          <w:szCs w:val="24"/>
        </w:rPr>
        <w:t>Ez alól kivételt jelent az a ritka eset, amikor egy földrajzi árujelző lajstromozásának az jelenti</w:t>
      </w:r>
      <w:r w:rsidR="00DE117B" w:rsidRPr="007123AC">
        <w:rPr>
          <w:rFonts w:ascii="Times New Roman" w:hAnsi="Times New Roman" w:cs="Times New Roman"/>
          <w:sz w:val="24"/>
          <w:szCs w:val="24"/>
        </w:rPr>
        <w:t xml:space="preserve"> akadályát, hogy</w:t>
      </w:r>
      <w:r w:rsidR="009E786C" w:rsidRPr="007123AC">
        <w:rPr>
          <w:rFonts w:ascii="Times New Roman" w:hAnsi="Times New Roman" w:cs="Times New Roman"/>
          <w:sz w:val="24"/>
          <w:szCs w:val="24"/>
        </w:rPr>
        <w:t xml:space="preserve"> egy korábbi védjegy hírnevére és hosszú ideje tartó használatára tekintettel épp</w:t>
      </w:r>
      <w:r w:rsidR="00853045" w:rsidRPr="007123AC">
        <w:rPr>
          <w:rFonts w:ascii="Times New Roman" w:hAnsi="Times New Roman" w:cs="Times New Roman"/>
          <w:sz w:val="24"/>
          <w:szCs w:val="24"/>
        </w:rPr>
        <w:t>en</w:t>
      </w:r>
      <w:r w:rsidR="009E786C" w:rsidRPr="007123AC">
        <w:rPr>
          <w:rFonts w:ascii="Times New Roman" w:hAnsi="Times New Roman" w:cs="Times New Roman"/>
          <w:sz w:val="24"/>
          <w:szCs w:val="24"/>
        </w:rPr>
        <w:t xml:space="preserve"> a földrajzi árujelző használata lenne megtévesztő az érintett termékek származása vonatkozásában. Egyebekben még a jóhiszeműen bejelentett korábbi védjegyek sem képeznek lajstromozást kizáró okot a velük ütköző földrajzi árujelzőkkel összefüggésben; ilyen esetekben a jog általában a két megjelölés együttélését teszi lehetővé.</w:t>
      </w:r>
      <w:r w:rsidR="009B1C19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865F3F" w:rsidRPr="007123AC">
        <w:rPr>
          <w:rFonts w:ascii="Times New Roman" w:hAnsi="Times New Roman" w:cs="Times New Roman"/>
          <w:sz w:val="24"/>
          <w:szCs w:val="24"/>
        </w:rPr>
        <w:t>Ugyanakkor</w:t>
      </w:r>
      <w:r w:rsidR="009B1C19" w:rsidRPr="007123AC">
        <w:rPr>
          <w:rFonts w:ascii="Times New Roman" w:hAnsi="Times New Roman" w:cs="Times New Roman"/>
          <w:sz w:val="24"/>
          <w:szCs w:val="24"/>
        </w:rPr>
        <w:t>, ha egy földrajzi árujelzőt már lajstromoztak, a későbbi ütköző védjegybejelent</w:t>
      </w:r>
      <w:r w:rsidR="00A177AD" w:rsidRPr="007123AC">
        <w:rPr>
          <w:rFonts w:ascii="Times New Roman" w:hAnsi="Times New Roman" w:cs="Times New Roman"/>
          <w:sz w:val="24"/>
          <w:szCs w:val="24"/>
        </w:rPr>
        <w:t xml:space="preserve">éseket el kell utasítani, </w:t>
      </w:r>
      <w:r w:rsidR="00EB7AB1" w:rsidRPr="007123AC">
        <w:rPr>
          <w:rFonts w:ascii="Times New Roman" w:hAnsi="Times New Roman" w:cs="Times New Roman"/>
          <w:sz w:val="24"/>
          <w:szCs w:val="24"/>
        </w:rPr>
        <w:t>tekintettel arra,</w:t>
      </w:r>
      <w:r w:rsidR="00A177AD" w:rsidRPr="007123AC">
        <w:rPr>
          <w:rFonts w:ascii="Times New Roman" w:hAnsi="Times New Roman" w:cs="Times New Roman"/>
          <w:sz w:val="24"/>
          <w:szCs w:val="24"/>
        </w:rPr>
        <w:t xml:space="preserve"> hogy az oltalom alatt álló földrajzi árujelzők</w:t>
      </w:r>
      <w:r w:rsidR="00FD4874">
        <w:rPr>
          <w:rFonts w:ascii="Times New Roman" w:hAnsi="Times New Roman" w:cs="Times New Roman"/>
          <w:sz w:val="24"/>
          <w:szCs w:val="24"/>
        </w:rPr>
        <w:t xml:space="preserve"> hivatalból vizsgálandó</w:t>
      </w:r>
      <w:r w:rsidR="00A177AD" w:rsidRPr="007123AC">
        <w:rPr>
          <w:rFonts w:ascii="Times New Roman" w:hAnsi="Times New Roman" w:cs="Times New Roman"/>
          <w:sz w:val="24"/>
          <w:szCs w:val="24"/>
        </w:rPr>
        <w:t xml:space="preserve"> feltétlen kizáró okot jelentenek a védjegyek lajstromozásával szemben. </w:t>
      </w:r>
      <w:r w:rsidR="00A42920" w:rsidRPr="007123AC">
        <w:rPr>
          <w:rFonts w:ascii="Times New Roman" w:hAnsi="Times New Roman" w:cs="Times New Roman"/>
          <w:sz w:val="24"/>
          <w:szCs w:val="24"/>
        </w:rPr>
        <w:t>Annak megállapításakor, hogy a védjegyként lajstromoztatni kívánt megjelölés ütközik-e a földrajzi árujelzővel, az árujegyzék és a földrajzi árujelzőhöz kapcsolódó termék közötti hasonlóságot, valamint az oltalom terjedelme kapcsán fent elmondottakat kell figyelembe venni. Alapvető érdek, hogy ne részesülhessenek védjegyoltalomban az olyan termékek árujelzői, amelyek nem a jelzett területről származnak.</w:t>
      </w:r>
    </w:p>
    <w:p w:rsidR="000D0538" w:rsidRPr="007123AC" w:rsidRDefault="00EF125E" w:rsidP="007123AC">
      <w:pPr>
        <w:pStyle w:val="felsorolsABC2mm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965F30" w:rsidRPr="007123AC">
        <w:rPr>
          <w:rFonts w:ascii="Times New Roman" w:hAnsi="Times New Roman" w:cs="Times New Roman"/>
          <w:sz w:val="24"/>
          <w:szCs w:val="24"/>
        </w:rPr>
        <w:t xml:space="preserve">például </w:t>
      </w:r>
      <w:r w:rsidRPr="007123AC">
        <w:rPr>
          <w:rFonts w:ascii="Times New Roman" w:hAnsi="Times New Roman" w:cs="Times New Roman"/>
          <w:sz w:val="24"/>
          <w:szCs w:val="24"/>
        </w:rPr>
        <w:t>a</w:t>
      </w:r>
      <w:r w:rsidR="00965F30" w:rsidRPr="007123AC">
        <w:rPr>
          <w:rFonts w:ascii="Times New Roman" w:hAnsi="Times New Roman" w:cs="Times New Roman"/>
          <w:sz w:val="24"/>
          <w:szCs w:val="24"/>
        </w:rPr>
        <w:t xml:space="preserve"> nemzeti</w:t>
      </w:r>
      <w:r w:rsidRPr="007123AC">
        <w:rPr>
          <w:rFonts w:ascii="Times New Roman" w:hAnsi="Times New Roman" w:cs="Times New Roman"/>
          <w:sz w:val="24"/>
          <w:szCs w:val="24"/>
        </w:rPr>
        <w:t xml:space="preserve"> védjegybejelentés földrajzi árujelzőt tartalmaz, a</w:t>
      </w:r>
      <w:r w:rsidR="00FD31E6">
        <w:rPr>
          <w:rFonts w:ascii="Times New Roman" w:hAnsi="Times New Roman" w:cs="Times New Roman"/>
          <w:sz w:val="24"/>
          <w:szCs w:val="24"/>
        </w:rPr>
        <w:t xml:space="preserve"> Szellemi Tulajdon Nemzeti Hivatala (</w:t>
      </w:r>
      <w:r w:rsidR="00E30E38">
        <w:rPr>
          <w:rFonts w:ascii="Times New Roman" w:hAnsi="Times New Roman" w:cs="Times New Roman"/>
          <w:sz w:val="24"/>
          <w:szCs w:val="24"/>
        </w:rPr>
        <w:t xml:space="preserve">a </w:t>
      </w:r>
      <w:r w:rsidR="00FD31E6">
        <w:rPr>
          <w:rFonts w:ascii="Times New Roman" w:hAnsi="Times New Roman" w:cs="Times New Roman"/>
          <w:sz w:val="24"/>
          <w:szCs w:val="24"/>
        </w:rPr>
        <w:t>továbbiakban: SZTNH)</w:t>
      </w:r>
      <w:r w:rsidRPr="007123AC">
        <w:rPr>
          <w:rFonts w:ascii="Times New Roman" w:hAnsi="Times New Roman" w:cs="Times New Roman"/>
          <w:sz w:val="24"/>
          <w:szCs w:val="24"/>
        </w:rPr>
        <w:t xml:space="preserve"> gyakorlatában a fent kifejtettek a következőképpen alakulnak. A</w:t>
      </w:r>
      <w:r w:rsidR="00FD31E6">
        <w:rPr>
          <w:rFonts w:ascii="Times New Roman" w:hAnsi="Times New Roman" w:cs="Times New Roman"/>
          <w:sz w:val="24"/>
          <w:szCs w:val="24"/>
        </w:rPr>
        <w:t>z SZTNH</w:t>
      </w:r>
      <w:r w:rsidRPr="007123AC">
        <w:rPr>
          <w:rFonts w:ascii="Times New Roman" w:hAnsi="Times New Roman" w:cs="Times New Roman"/>
          <w:sz w:val="24"/>
          <w:szCs w:val="24"/>
        </w:rPr>
        <w:t xml:space="preserve"> a feltétlen kizáró ok észlelését követően hivatalból nyilatkozattételre hívja fel a védjegybejelentőt azzal, hogy </w:t>
      </w:r>
      <w:r w:rsidR="00854004" w:rsidRPr="007123AC">
        <w:rPr>
          <w:rFonts w:ascii="Times New Roman" w:hAnsi="Times New Roman" w:cs="Times New Roman"/>
          <w:sz w:val="24"/>
          <w:szCs w:val="24"/>
        </w:rPr>
        <w:t xml:space="preserve">a </w:t>
      </w:r>
      <w:r w:rsidRPr="007123AC">
        <w:rPr>
          <w:rFonts w:ascii="Times New Roman" w:hAnsi="Times New Roman" w:cs="Times New Roman"/>
          <w:sz w:val="24"/>
          <w:szCs w:val="24"/>
        </w:rPr>
        <w:t xml:space="preserve">lajstromozni kért megjelölés nem részesíthető védjegyoltalomban, mert az lajstromozott földrajzi árujelzőt tartalmaz. A védjegyoltalom megadására akkor kerülhet sor, ha a bejelentő az árujegyzéket az adott áruosztályban megfelelően szűkíti (például </w:t>
      </w:r>
      <w:r w:rsidR="007D2C46">
        <w:rPr>
          <w:rFonts w:ascii="Times New Roman" w:hAnsi="Times New Roman" w:cs="Times New Roman"/>
          <w:sz w:val="24"/>
          <w:szCs w:val="24"/>
        </w:rPr>
        <w:t xml:space="preserve">a </w:t>
      </w:r>
      <w:r w:rsidRPr="007123AC">
        <w:rPr>
          <w:rFonts w:ascii="Times New Roman" w:hAnsi="Times New Roman" w:cs="Times New Roman"/>
          <w:sz w:val="24"/>
          <w:szCs w:val="24"/>
        </w:rPr>
        <w:t xml:space="preserve">„Tokaj”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eredetmegjelölést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tartalmazó védjegybejelentés árujegyzékét a 33. osztályban „Tokaj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termékleírásának megfelelő borok” árukra, vagy </w:t>
      </w:r>
      <w:r w:rsidR="007D2C46">
        <w:rPr>
          <w:rFonts w:ascii="Times New Roman" w:hAnsi="Times New Roman" w:cs="Times New Roman"/>
          <w:sz w:val="24"/>
          <w:szCs w:val="24"/>
        </w:rPr>
        <w:t xml:space="preserve">a </w:t>
      </w:r>
      <w:r w:rsidRPr="007123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Gouda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>” földrajzi árujelzőt tartalmazó védjegybejelentés árujegyzékét a 29. osztályban „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Gouda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földrajzi árujelző területéről származó, a termékleírásának megfelelően előállított sajtokra”). Amennyiben az adott földrajzi árujelzőhöz vagy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</w:t>
      </w:r>
      <w:r w:rsidR="007D2C46">
        <w:rPr>
          <w:rFonts w:ascii="Times New Roman" w:hAnsi="Times New Roman" w:cs="Times New Roman"/>
          <w:sz w:val="24"/>
          <w:szCs w:val="24"/>
        </w:rPr>
        <w:t>l</w:t>
      </w:r>
      <w:r w:rsidRPr="007123AC">
        <w:rPr>
          <w:rFonts w:ascii="Times New Roman" w:hAnsi="Times New Roman" w:cs="Times New Roman"/>
          <w:sz w:val="24"/>
          <w:szCs w:val="24"/>
        </w:rPr>
        <w:t>éshez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nem tartozik termékleírás, úgy a területi korlátozás fogadható el (például Herend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területéről származó porcelán áruk).</w:t>
      </w:r>
    </w:p>
    <w:p w:rsidR="00D61BC0" w:rsidRPr="007123AC" w:rsidRDefault="00D61BC0" w:rsidP="007123AC">
      <w:pPr>
        <w:pStyle w:val="211alcm"/>
        <w:numPr>
          <w:ilvl w:val="0"/>
          <w:numId w:val="5"/>
        </w:numPr>
        <w:spacing w:after="100" w:afterAutospacing="1" w:line="360" w:lineRule="auto"/>
        <w:ind w:left="340"/>
        <w:rPr>
          <w:rStyle w:val="kvr"/>
          <w:rFonts w:ascii="Times New Roman" w:hAnsi="Times New Roman" w:cs="Times New Roman"/>
          <w:b/>
          <w:sz w:val="26"/>
          <w:szCs w:val="26"/>
        </w:rPr>
      </w:pP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A földrajzi árujelzők Típusai</w:t>
      </w:r>
    </w:p>
    <w:p w:rsidR="00D61BC0" w:rsidRPr="007123AC" w:rsidRDefault="00D61BC0" w:rsidP="007123AC">
      <w:pPr>
        <w:pStyle w:val="szve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földrajzi árujelzők oltalmi struktúrája igen összetett képet mutat. Az egyes oltalmi rendszerek között nem csupán elnevezésbeli és fogalmi eltérések mutatkoznak, hanem az oltalom alá eső termékek köre is változó.</w:t>
      </w:r>
    </w:p>
    <w:p w:rsidR="00D61BC0" w:rsidRPr="007123AC" w:rsidRDefault="00D61BC0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nemzetközi jog, az Európai Unió joga és a nemzeti jog</w:t>
      </w:r>
      <w:r w:rsidR="00893A2A">
        <w:rPr>
          <w:rFonts w:ascii="Times New Roman" w:hAnsi="Times New Roman" w:cs="Times New Roman"/>
          <w:sz w:val="24"/>
          <w:szCs w:val="24"/>
        </w:rPr>
        <w:t>szabályok</w:t>
      </w:r>
      <w:r w:rsidRPr="007123AC">
        <w:rPr>
          <w:rFonts w:ascii="Times New Roman" w:hAnsi="Times New Roman" w:cs="Times New Roman"/>
          <w:sz w:val="24"/>
          <w:szCs w:val="24"/>
        </w:rPr>
        <w:t xml:space="preserve"> a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földrajzi árujelzők</w:t>
      </w:r>
      <w:r w:rsidRPr="007123AC">
        <w:rPr>
          <w:rFonts w:ascii="Times New Roman" w:hAnsi="Times New Roman" w:cs="Times New Roman"/>
          <w:sz w:val="24"/>
          <w:szCs w:val="24"/>
        </w:rPr>
        <w:t xml:space="preserve"> átfogó kategóriáját különböző kifejezésekkel és meghatározásokkal árnyalják, amelyekből a legfontosabbak a következők</w:t>
      </w:r>
      <w:r w:rsidR="00DF2304" w:rsidRPr="007123AC">
        <w:rPr>
          <w:rFonts w:ascii="Times New Roman" w:hAnsi="Times New Roman" w:cs="Times New Roman"/>
          <w:sz w:val="24"/>
          <w:szCs w:val="24"/>
        </w:rPr>
        <w:t>.</w:t>
      </w:r>
      <w:r w:rsidRPr="00712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BC0" w:rsidRPr="007123AC" w:rsidRDefault="00D61BC0" w:rsidP="007123AC">
      <w:pPr>
        <w:pStyle w:val="felsorolsABC0mm"/>
        <w:spacing w:after="100" w:afterAutospacing="1" w:line="360" w:lineRule="auto"/>
        <w:ind w:left="426" w:hanging="255"/>
        <w:rPr>
          <w:rFonts w:ascii="Times New Roman" w:hAnsi="Times New Roman" w:cs="Times New Roman"/>
          <w:sz w:val="24"/>
          <w:szCs w:val="24"/>
        </w:rPr>
      </w:pPr>
      <w:proofErr w:type="gramStart"/>
      <w:r w:rsidRPr="007123AC">
        <w:rPr>
          <w:rStyle w:val="kurzv"/>
          <w:rFonts w:ascii="Times New Roman" w:hAnsi="Times New Roman" w:cs="Times New Roman"/>
          <w:i w:val="0"/>
          <w:iCs/>
          <w:sz w:val="24"/>
          <w:szCs w:val="24"/>
        </w:rPr>
        <w:t>a</w:t>
      </w:r>
      <w:proofErr w:type="gramEnd"/>
      <w:r w:rsidRPr="007123AC">
        <w:rPr>
          <w:rStyle w:val="kurzv"/>
          <w:rFonts w:ascii="Times New Roman" w:hAnsi="Times New Roman" w:cs="Times New Roman"/>
          <w:i w:val="0"/>
          <w:iCs/>
          <w:sz w:val="24"/>
          <w:szCs w:val="24"/>
        </w:rPr>
        <w:t>)</w:t>
      </w:r>
      <w:r w:rsidR="00CA08A3">
        <w:rPr>
          <w:rStyle w:val="kurzv"/>
          <w:rFonts w:ascii="Times New Roman" w:hAnsi="Times New Roman" w:cs="Times New Roman"/>
          <w:i w:val="0"/>
          <w:iCs/>
          <w:sz w:val="24"/>
          <w:szCs w:val="24"/>
        </w:rPr>
        <w:tab/>
      </w:r>
      <w:proofErr w:type="spellStart"/>
      <w:r w:rsidR="00EB73BF" w:rsidRPr="00EB73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B73BF" w:rsidRPr="00EB73BF">
        <w:rPr>
          <w:rFonts w:ascii="Times New Roman" w:hAnsi="Times New Roman" w:cs="Times New Roman"/>
          <w:sz w:val="24"/>
          <w:szCs w:val="24"/>
        </w:rPr>
        <w:t xml:space="preserve"> Kereskedelmi Világszervezet </w:t>
      </w:r>
      <w:r w:rsidR="00EB73BF">
        <w:rPr>
          <w:rFonts w:ascii="Times New Roman" w:hAnsi="Times New Roman" w:cs="Times New Roman"/>
          <w:sz w:val="24"/>
          <w:szCs w:val="24"/>
        </w:rPr>
        <w:t xml:space="preserve">(WTO) </w:t>
      </w:r>
      <w:r w:rsidR="00EB73BF" w:rsidRPr="00EB73BF">
        <w:rPr>
          <w:rFonts w:ascii="Times New Roman" w:hAnsi="Times New Roman" w:cs="Times New Roman"/>
          <w:sz w:val="24"/>
          <w:szCs w:val="24"/>
        </w:rPr>
        <w:t xml:space="preserve">tagjai számára a </w:t>
      </w:r>
      <w:proofErr w:type="spellStart"/>
      <w:r w:rsidR="00EB73BF" w:rsidRPr="00EB73BF">
        <w:rPr>
          <w:rFonts w:ascii="Times New Roman" w:hAnsi="Times New Roman" w:cs="Times New Roman"/>
          <w:sz w:val="24"/>
          <w:szCs w:val="24"/>
        </w:rPr>
        <w:t>TRIPS-megállapodás</w:t>
      </w:r>
      <w:proofErr w:type="spellEnd"/>
      <w:r w:rsidR="00F35683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EB73BF" w:rsidRPr="00EB73BF">
        <w:rPr>
          <w:rFonts w:ascii="Times New Roman" w:hAnsi="Times New Roman" w:cs="Times New Roman"/>
          <w:sz w:val="24"/>
          <w:szCs w:val="24"/>
        </w:rPr>
        <w:t xml:space="preserve"> írja elő, hogy a földrajzi árujelzőknek (</w:t>
      </w:r>
      <w:proofErr w:type="spellStart"/>
      <w:r w:rsidR="00EB73BF" w:rsidRPr="00EB73BF">
        <w:rPr>
          <w:rStyle w:val="kurzv"/>
          <w:rFonts w:ascii="Times New Roman" w:hAnsi="Times New Roman" w:cs="Times New Roman"/>
          <w:iCs/>
          <w:sz w:val="24"/>
          <w:szCs w:val="24"/>
        </w:rPr>
        <w:t>geographical</w:t>
      </w:r>
      <w:proofErr w:type="spellEnd"/>
      <w:r w:rsidR="00EB73BF" w:rsidRPr="00EB73BF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B73BF" w:rsidRPr="00EB73BF">
        <w:rPr>
          <w:rStyle w:val="kurzv"/>
          <w:rFonts w:ascii="Times New Roman" w:hAnsi="Times New Roman" w:cs="Times New Roman"/>
          <w:iCs/>
          <w:sz w:val="24"/>
          <w:szCs w:val="24"/>
        </w:rPr>
        <w:t>indications</w:t>
      </w:r>
      <w:proofErr w:type="spellEnd"/>
      <w:r w:rsidR="00EB73BF" w:rsidRPr="00EB73BF">
        <w:rPr>
          <w:rFonts w:ascii="Times New Roman" w:hAnsi="Times New Roman" w:cs="Times New Roman"/>
          <w:sz w:val="24"/>
          <w:szCs w:val="24"/>
        </w:rPr>
        <w:t>) milyen minimális szintű oltalmat kell biztosítaniuk.</w:t>
      </w:r>
      <w:r w:rsidRPr="007123AC">
        <w:rPr>
          <w:rStyle w:val="kurzv"/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 xml:space="preserve">A megállapodás a földrajzi </w:t>
      </w:r>
      <w:r w:rsidR="00D1094B" w:rsidRPr="007123AC">
        <w:rPr>
          <w:rFonts w:ascii="Times New Roman" w:hAnsi="Times New Roman" w:cs="Times New Roman"/>
          <w:sz w:val="24"/>
          <w:szCs w:val="24"/>
        </w:rPr>
        <w:t>árujelzők</w:t>
      </w:r>
      <w:r w:rsidR="00E815C8" w:rsidRPr="007123AC">
        <w:rPr>
          <w:rFonts w:ascii="Times New Roman" w:hAnsi="Times New Roman" w:cs="Times New Roman"/>
          <w:sz w:val="24"/>
          <w:szCs w:val="24"/>
        </w:rPr>
        <w:t>et</w:t>
      </w:r>
      <w:r w:rsidR="00D1094B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>a valamely tag területéről, vidékéről</w:t>
      </w:r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>vagy helységéből származó olyan termékre vonatkozó megjelölésként definiálja, amelynek</w:t>
      </w:r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 xml:space="preserve">meghatározott minőségét, hírnevét vagy egyéb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jellemzőit lényegében a földrajzi eredet határozza</w:t>
      </w:r>
      <w:r w:rsidRPr="007123AC">
        <w:rPr>
          <w:rStyle w:val="flkvrkurzv"/>
          <w:rFonts w:ascii="Times New Roman" w:hAnsi="Times New Roman" w:cs="Times New Roman"/>
          <w:b w:val="0"/>
          <w:bCs/>
          <w:iCs/>
          <w:sz w:val="24"/>
          <w:szCs w:val="24"/>
        </w:rPr>
        <w:t xml:space="preserve">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meg</w:t>
      </w:r>
      <w:r w:rsidRPr="00B9369C">
        <w:rPr>
          <w:rFonts w:ascii="Times New Roman" w:hAnsi="Times New Roman" w:cs="Times New Roman"/>
          <w:sz w:val="24"/>
          <w:szCs w:val="24"/>
        </w:rPr>
        <w:t>.</w:t>
      </w:r>
    </w:p>
    <w:p w:rsidR="00D61BC0" w:rsidRPr="007123AC" w:rsidRDefault="00D61BC0" w:rsidP="007123AC">
      <w:pPr>
        <w:pStyle w:val="felsorolsABC0mm"/>
        <w:spacing w:after="100" w:afterAutospacing="1" w:line="360" w:lineRule="auto"/>
        <w:ind w:left="426" w:hanging="255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ab/>
        <w:t xml:space="preserve">Az általános minimumszintet a fogyasztók megtévesztésére alkalmas olyan megjelölések elleni fellépés lehetősége jelenti, amelyek a termékek tényleges származási helyétől eltérő eredetet sugallnak, illetve amelyek tisztességtelen versenycselekményt valósítanak meg. </w:t>
      </w:r>
    </w:p>
    <w:p w:rsidR="00D61BC0" w:rsidRPr="007123AC" w:rsidRDefault="00D61BC0" w:rsidP="007123AC">
      <w:pPr>
        <w:pStyle w:val="felsorolsABC2mm"/>
        <w:spacing w:after="100" w:afterAutospacing="1" w:line="360" w:lineRule="auto"/>
        <w:ind w:left="426" w:hanging="255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TRIPS-megállapodás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ugyanakkor nem határozza meg, hogy a részes feleknek milyen jogi eszközökkel kell mindezt biztosítaniuk, ezért nem is minden tag működtet rájuk nézve 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sui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generis (önálló)</w:t>
      </w:r>
      <w:r w:rsidRPr="007123AC">
        <w:rPr>
          <w:rFonts w:ascii="Times New Roman" w:hAnsi="Times New Roman" w:cs="Times New Roman"/>
          <w:sz w:val="24"/>
          <w:szCs w:val="24"/>
        </w:rPr>
        <w:t xml:space="preserve"> rendszert: van, ahol az együttes vagy tanúsító védjegyekre vonatkozó szabályok keretein </w:t>
      </w:r>
      <w:proofErr w:type="gramStart"/>
      <w:r w:rsidRPr="007123AC">
        <w:rPr>
          <w:rFonts w:ascii="Times New Roman" w:hAnsi="Times New Roman" w:cs="Times New Roman"/>
          <w:sz w:val="24"/>
          <w:szCs w:val="24"/>
        </w:rPr>
        <w:t xml:space="preserve">belül </w:t>
      </w:r>
      <w:r w:rsidR="00893A2A">
        <w:rPr>
          <w:rFonts w:ascii="Times New Roman" w:hAnsi="Times New Roman" w:cs="Times New Roman"/>
          <w:sz w:val="24"/>
          <w:szCs w:val="24"/>
        </w:rPr>
        <w:t xml:space="preserve"> teremtik</w:t>
      </w:r>
      <w:proofErr w:type="gramEnd"/>
      <w:r w:rsidR="00893A2A">
        <w:rPr>
          <w:rFonts w:ascii="Times New Roman" w:hAnsi="Times New Roman" w:cs="Times New Roman"/>
          <w:sz w:val="24"/>
          <w:szCs w:val="24"/>
        </w:rPr>
        <w:t xml:space="preserve"> meg/biztosítják </w:t>
      </w:r>
      <w:r w:rsidRPr="007123AC">
        <w:rPr>
          <w:rFonts w:ascii="Times New Roman" w:hAnsi="Times New Roman" w:cs="Times New Roman"/>
          <w:sz w:val="24"/>
          <w:szCs w:val="24"/>
        </w:rPr>
        <w:t xml:space="preserve"> a földrajzi árujelzők oltalmát (pl. az USA-ban vagy Ausztráliában).</w:t>
      </w:r>
    </w:p>
    <w:p w:rsidR="00D61BC0" w:rsidRPr="007123AC" w:rsidRDefault="00D61BC0" w:rsidP="007123AC">
      <w:pPr>
        <w:pStyle w:val="szveg"/>
        <w:spacing w:after="100" w:afterAutospacing="1" w:line="360" w:lineRule="auto"/>
        <w:ind w:left="426" w:hanging="255"/>
        <w:rPr>
          <w:rFonts w:ascii="Times New Roman" w:hAnsi="Times New Roman" w:cs="Times New Roman"/>
          <w:sz w:val="24"/>
          <w:szCs w:val="24"/>
        </w:rPr>
      </w:pPr>
      <w:r w:rsidRPr="007123AC">
        <w:rPr>
          <w:rStyle w:val="kurzv"/>
          <w:rFonts w:ascii="Times New Roman" w:hAnsi="Times New Roman" w:cs="Times New Roman"/>
          <w:i w:val="0"/>
          <w:iCs/>
          <w:sz w:val="24"/>
          <w:szCs w:val="24"/>
        </w:rPr>
        <w:t>b)</w:t>
      </w:r>
      <w:r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="00976954" w:rsidRPr="007123AC">
        <w:rPr>
          <w:rFonts w:ascii="Times New Roman" w:hAnsi="Times New Roman" w:cs="Times New Roman"/>
          <w:sz w:val="24"/>
          <w:szCs w:val="24"/>
        </w:rPr>
        <w:t>A</w:t>
      </w:r>
      <w:r w:rsidRPr="007123AC">
        <w:rPr>
          <w:rFonts w:ascii="Times New Roman" w:hAnsi="Times New Roman" w:cs="Times New Roman"/>
          <w:sz w:val="24"/>
          <w:szCs w:val="24"/>
        </w:rPr>
        <w:t xml:space="preserve">z uniós jog által meghatározott földrajzi árujelzők – a termékek és a földrajzi terület közötti kapcsolat erősségétől függően – kétféle kategóriát képeznek, amelyekhez kétfajta színes ábrás logó használatának a lehetősége is kapcsolódik. Az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oltalom alatt álló </w:t>
      </w:r>
      <w:proofErr w:type="spellStart"/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eredetmegjelölések</w:t>
      </w:r>
      <w:proofErr w:type="spellEnd"/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protected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designations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origin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)</w:t>
      </w:r>
      <w:r w:rsidRPr="007123AC">
        <w:rPr>
          <w:rFonts w:ascii="Times New Roman" w:hAnsi="Times New Roman" w:cs="Times New Roman"/>
          <w:sz w:val="24"/>
          <w:szCs w:val="24"/>
        </w:rPr>
        <w:t xml:space="preserve"> esetében a termékek lényegében vagy kizárólag a megjelölésben szereplő földrajzi terület (régió, hely vagy kivételes esetben ország) által nyújtott környezetnek köszönhetik minőségüket vagy különleges jellemzőiket, és az előállítás és a feldolgozás minden lépése az adott területen kell, hogy történjen. </w:t>
      </w:r>
      <w:r w:rsidRPr="007123AC">
        <w:rPr>
          <w:rFonts w:ascii="Times New Roman" w:hAnsi="Times New Roman" w:cs="Times New Roman"/>
          <w:sz w:val="24"/>
          <w:szCs w:val="24"/>
        </w:rPr>
        <w:br/>
        <w:t xml:space="preserve">Az </w:t>
      </w:r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oltalom alatt álló földrajzi jelzések</w:t>
      </w:r>
      <w:r w:rsidRPr="007123AC">
        <w:rPr>
          <w:rStyle w:val="kvr"/>
          <w:rFonts w:ascii="Times New Roman" w:hAnsi="Times New Roman" w:cs="Times New Roman"/>
          <w:bCs/>
          <w:sz w:val="24"/>
          <w:szCs w:val="24"/>
        </w:rPr>
        <w:t xml:space="preserve"> </w:t>
      </w:r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protected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geographical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indications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) </w:t>
      </w:r>
      <w:r w:rsidRPr="007123AC">
        <w:rPr>
          <w:rFonts w:ascii="Times New Roman" w:hAnsi="Times New Roman" w:cs="Times New Roman"/>
          <w:sz w:val="24"/>
          <w:szCs w:val="24"/>
        </w:rPr>
        <w:t>esetén a termék valamely tulajdonsága vagy hírneve a földrajzi származásnak tulajdonítható, és az előállítás és feldolgozás valamely lépésének az adott területen kell történnie.</w:t>
      </w:r>
    </w:p>
    <w:p w:rsidR="00D61BC0" w:rsidRPr="007123AC" w:rsidRDefault="00D61BC0" w:rsidP="007123AC">
      <w:pPr>
        <w:pStyle w:val="szveg"/>
        <w:spacing w:after="100" w:afterAutospacing="1" w:line="360" w:lineRule="auto"/>
        <w:ind w:left="426" w:hanging="426"/>
        <w:rPr>
          <w:rStyle w:val="kurzv"/>
          <w:rFonts w:ascii="Times New Roman" w:hAnsi="Times New Roman" w:cs="Times New Roman"/>
          <w:iCs/>
          <w:sz w:val="24"/>
          <w:szCs w:val="24"/>
        </w:rPr>
      </w:pPr>
      <w:r w:rsidRPr="007123AC">
        <w:rPr>
          <w:rStyle w:val="kurzv"/>
          <w:rFonts w:ascii="Times New Roman" w:hAnsi="Times New Roman" w:cs="Times New Roman"/>
          <w:i w:val="0"/>
          <w:iCs/>
          <w:sz w:val="24"/>
          <w:szCs w:val="24"/>
        </w:rPr>
        <w:t>c)</w:t>
      </w:r>
      <w:r w:rsidR="00CA08A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05B6D" w:rsidRPr="007123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23AC">
        <w:rPr>
          <w:rFonts w:ascii="Times New Roman" w:hAnsi="Times New Roman" w:cs="Times New Roman"/>
          <w:sz w:val="24"/>
          <w:szCs w:val="24"/>
        </w:rPr>
        <w:t xml:space="preserve"> Szellemi Tulajdon Világszervezete (WIPO) által működtetett nemzetközi lajstromozási rendszerben oltalmat élvező </w:t>
      </w:r>
      <w:proofErr w:type="spellStart"/>
      <w:r w:rsidRPr="007123AC">
        <w:rPr>
          <w:rStyle w:val="kvr"/>
          <w:rFonts w:ascii="Times New Roman" w:hAnsi="Times New Roman" w:cs="Times New Roman"/>
          <w:b w:val="0"/>
          <w:bCs/>
          <w:sz w:val="24"/>
          <w:szCs w:val="24"/>
        </w:rPr>
        <w:t>eredetmegjelölésről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appellations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>origin</w:t>
      </w:r>
      <w:proofErr w:type="spellEnd"/>
      <w:r w:rsidRPr="007123AC">
        <w:rPr>
          <w:rStyle w:val="kurzv"/>
          <w:rFonts w:ascii="Times New Roman" w:hAnsi="Times New Roman" w:cs="Times New Roman"/>
          <w:iCs/>
          <w:sz w:val="24"/>
          <w:szCs w:val="24"/>
        </w:rPr>
        <w:t xml:space="preserve">) </w:t>
      </w:r>
      <w:r w:rsidRPr="007123AC">
        <w:rPr>
          <w:rFonts w:ascii="Times New Roman" w:hAnsi="Times New Roman" w:cs="Times New Roman"/>
          <w:sz w:val="24"/>
          <w:szCs w:val="24"/>
        </w:rPr>
        <w:t>a Lisszaboni Megállapodás</w:t>
      </w:r>
      <w:r w:rsidRPr="007123AC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7123AC">
        <w:rPr>
          <w:rFonts w:ascii="Times New Roman" w:hAnsi="Times New Roman" w:cs="Times New Roman"/>
          <w:sz w:val="24"/>
          <w:szCs w:val="24"/>
        </w:rPr>
        <w:t xml:space="preserve"> rendelkezik</w:t>
      </w:r>
      <w:r w:rsidR="00573EBC">
        <w:rPr>
          <w:rFonts w:ascii="Times New Roman" w:hAnsi="Times New Roman" w:cs="Times New Roman"/>
          <w:sz w:val="24"/>
          <w:szCs w:val="24"/>
        </w:rPr>
        <w:t xml:space="preserve">, amely az </w:t>
      </w:r>
      <w:proofErr w:type="spellStart"/>
      <w:r w:rsidR="00573EBC">
        <w:rPr>
          <w:rFonts w:ascii="Times New Roman" w:hAnsi="Times New Roman" w:cs="Times New Roman"/>
          <w:sz w:val="24"/>
          <w:szCs w:val="24"/>
        </w:rPr>
        <w:t>eredetmegjelölés</w:t>
      </w:r>
      <w:proofErr w:type="spellEnd"/>
      <w:r w:rsidR="00573EBC">
        <w:rPr>
          <w:rFonts w:ascii="Times New Roman" w:hAnsi="Times New Roman" w:cs="Times New Roman"/>
          <w:sz w:val="24"/>
          <w:szCs w:val="24"/>
        </w:rPr>
        <w:t xml:space="preserve"> fogalmát a </w:t>
      </w:r>
      <w:proofErr w:type="spellStart"/>
      <w:r w:rsidR="00573EBC">
        <w:rPr>
          <w:rFonts w:ascii="Times New Roman" w:hAnsi="Times New Roman" w:cs="Times New Roman"/>
          <w:sz w:val="24"/>
          <w:szCs w:val="24"/>
        </w:rPr>
        <w:t>TRIPS-megállapodásban</w:t>
      </w:r>
      <w:proofErr w:type="spellEnd"/>
      <w:r w:rsidR="00573EBC">
        <w:rPr>
          <w:rFonts w:ascii="Times New Roman" w:hAnsi="Times New Roman" w:cs="Times New Roman"/>
          <w:sz w:val="24"/>
          <w:szCs w:val="24"/>
        </w:rPr>
        <w:t xml:space="preserve"> használt földrajzi árujelző definíciótól részben eltérően határozza meg. A Lisszaboni Megállapodás értelmében </w:t>
      </w:r>
      <w:r w:rsidRPr="007123AC">
        <w:rPr>
          <w:rFonts w:ascii="Times New Roman" w:hAnsi="Times New Roman" w:cs="Times New Roman"/>
          <w:sz w:val="24"/>
          <w:szCs w:val="24"/>
        </w:rPr>
        <w:t>ugyanis a földrajzi névvel megjelölt termék minőségét vagy jellegét a földrajzi környezetnek kell kizárólag vagy lényegében meghatároznia, beleértve a természeti és az emberi tényezőket is.</w:t>
      </w:r>
    </w:p>
    <w:p w:rsidR="00D61BC0" w:rsidRPr="007123AC" w:rsidRDefault="00D61BC0" w:rsidP="00336063">
      <w:pPr>
        <w:spacing w:before="100" w:beforeAutospacing="1" w:after="100" w:afterAutospacing="1"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d) </w:t>
      </w:r>
      <w:r w:rsidR="00CA08A3">
        <w:rPr>
          <w:rFonts w:ascii="Times New Roman" w:hAnsi="Times New Roman" w:cs="Times New Roman"/>
          <w:sz w:val="24"/>
          <w:szCs w:val="24"/>
        </w:rPr>
        <w:tab/>
      </w:r>
      <w:r w:rsidR="00103879">
        <w:rPr>
          <w:rFonts w:ascii="Times New Roman" w:hAnsi="Times New Roman" w:cs="Times New Roman"/>
          <w:sz w:val="24"/>
          <w:szCs w:val="24"/>
        </w:rPr>
        <w:t>N</w:t>
      </w:r>
      <w:r w:rsidRPr="007123AC">
        <w:rPr>
          <w:rFonts w:ascii="Times New Roman" w:hAnsi="Times New Roman" w:cs="Times New Roman"/>
          <w:sz w:val="24"/>
          <w:szCs w:val="24"/>
        </w:rPr>
        <w:t xml:space="preserve">emzeti </w:t>
      </w:r>
      <w:r w:rsidR="00DD1C48" w:rsidRPr="007123AC">
        <w:rPr>
          <w:rFonts w:ascii="Times New Roman" w:hAnsi="Times New Roman" w:cs="Times New Roman"/>
          <w:sz w:val="24"/>
          <w:szCs w:val="24"/>
        </w:rPr>
        <w:t>jog</w:t>
      </w:r>
      <w:r w:rsidR="00DD1C48">
        <w:rPr>
          <w:rFonts w:ascii="Times New Roman" w:hAnsi="Times New Roman" w:cs="Times New Roman"/>
          <w:sz w:val="24"/>
          <w:szCs w:val="24"/>
        </w:rPr>
        <w:t>unk</w:t>
      </w:r>
      <w:r w:rsidR="00103879">
        <w:rPr>
          <w:rFonts w:ascii="Times New Roman" w:hAnsi="Times New Roman" w:cs="Times New Roman"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 xml:space="preserve">– a közösségi normák szabályozási megoldásait leképezve – a földrajzi árujelzők kétféle kategóriáját különbözteti meg: 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eredetmegjelöléseket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és a földrajzi jelzéseket. Az oltalom alatt álló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eredetmegjelölések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esetében a termékek lényegében vagy kizárólag a megjelölésben szereplő földrajzi terület (régió, hely vagy kivételes esetben ország) által nyújtott környezetnek</w:t>
      </w:r>
      <w:r w:rsidR="00336063">
        <w:rPr>
          <w:rFonts w:ascii="Times New Roman" w:hAnsi="Times New Roman" w:cs="Times New Roman"/>
          <w:sz w:val="24"/>
          <w:szCs w:val="24"/>
        </w:rPr>
        <w:t xml:space="preserve"> – beleértve a természeti és emberi tényezőket – </w:t>
      </w:r>
      <w:r w:rsidRPr="007123AC">
        <w:rPr>
          <w:rFonts w:ascii="Times New Roman" w:hAnsi="Times New Roman" w:cs="Times New Roman"/>
          <w:sz w:val="24"/>
          <w:szCs w:val="24"/>
        </w:rPr>
        <w:t xml:space="preserve">köszönhetik minőségüket vagy különleges jellemzőiket, és az előállítás és a feldolgozás minden lépése az adott területen kell, hogy történjen. Az oltalom alatt álló földrajzi jelzések esetén a termék valamely tulajdonsága vagy hírneve a földrajzi származásnak tulajdonítható, és az előállítás és feldolgozás valamely lépésének az adott területen kell történnie. A lényeges különbség 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és a földrajzi jelzés között abban áll, hogy míg az előbbinél közvetlen és elválaszthatatlan kapcsolatnak kell lennie a termék minősége, tulajdonságai és a földrajzi környezet között, az utóbbinál ez a kapcsolat esetleges</w:t>
      </w:r>
      <w:r w:rsidR="00CD4540">
        <w:rPr>
          <w:rFonts w:ascii="Times New Roman" w:hAnsi="Times New Roman" w:cs="Times New Roman"/>
          <w:sz w:val="24"/>
          <w:szCs w:val="24"/>
        </w:rPr>
        <w:t>.</w:t>
      </w:r>
      <w:r w:rsidR="00336063" w:rsidRPr="00336063">
        <w:rPr>
          <w:rFonts w:ascii="Times New Roman" w:hAnsi="Times New Roman" w:cs="Times New Roman"/>
          <w:sz w:val="24"/>
          <w:szCs w:val="24"/>
        </w:rPr>
        <w:t xml:space="preserve"> </w:t>
      </w:r>
      <w:r w:rsidR="00336063">
        <w:rPr>
          <w:rFonts w:ascii="Times New Roman" w:hAnsi="Times New Roman" w:cs="Times New Roman"/>
          <w:sz w:val="24"/>
          <w:szCs w:val="24"/>
        </w:rPr>
        <w:t>A földrajzi jelzéssel ellátott</w:t>
      </w:r>
      <w:r w:rsidR="00336063" w:rsidRPr="007123AC">
        <w:rPr>
          <w:rFonts w:ascii="Times New Roman" w:hAnsi="Times New Roman" w:cs="Times New Roman"/>
          <w:sz w:val="24"/>
          <w:szCs w:val="24"/>
        </w:rPr>
        <w:t xml:space="preserve"> termék </w:t>
      </w:r>
      <w:r w:rsidR="00403269">
        <w:rPr>
          <w:rFonts w:ascii="Times New Roman" w:hAnsi="Times New Roman" w:cs="Times New Roman"/>
          <w:sz w:val="24"/>
          <w:szCs w:val="24"/>
        </w:rPr>
        <w:t xml:space="preserve">ugyanis </w:t>
      </w:r>
      <w:r w:rsidR="00336063" w:rsidRPr="007123AC">
        <w:rPr>
          <w:rFonts w:ascii="Times New Roman" w:hAnsi="Times New Roman" w:cs="Times New Roman"/>
          <w:sz w:val="24"/>
          <w:szCs w:val="24"/>
        </w:rPr>
        <w:t>köszönheti hírnevét, tulajdonságait a földrajzi környezetnek, függetlenül a természeti és emberi tényezőktől</w:t>
      </w:r>
      <w:r w:rsidR="00336063">
        <w:rPr>
          <w:rFonts w:ascii="Times New Roman" w:hAnsi="Times New Roman" w:cs="Times New Roman"/>
          <w:sz w:val="24"/>
          <w:szCs w:val="24"/>
        </w:rPr>
        <w:t>, melyek az előállítás során közrehatottak.</w:t>
      </w:r>
      <w:r w:rsidR="00336063" w:rsidRPr="007123AC">
        <w:rPr>
          <w:rFonts w:ascii="Times New Roman" w:hAnsi="Times New Roman" w:cs="Times New Roman"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>Az egymással kölcsönhatásban lévő oltalmi rendszerek egyszerűsített struktúráját és azoknak az egyes terméktípusokhoz való viszonyát az alábbi táblázat szemlélteti: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399"/>
        <w:gridCol w:w="2257"/>
        <w:gridCol w:w="2126"/>
      </w:tblGrid>
      <w:tr w:rsidR="00D61BC0" w:rsidRPr="007123AC" w:rsidTr="007D2C46">
        <w:trPr>
          <w:trHeight w:val="877"/>
        </w:trPr>
        <w:tc>
          <w:tcPr>
            <w:tcW w:w="229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pct10" w:color="auto" w:fill="auto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Uniós (közösségi) oltalom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Nemzeti oltalom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Nemzetközi oltalom</w:t>
            </w:r>
            <w:r w:rsidRPr="007123A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61BC0" w:rsidRPr="007123AC" w:rsidTr="007D2C46">
        <w:trPr>
          <w:trHeight w:val="1274"/>
        </w:trPr>
        <w:tc>
          <w:tcPr>
            <w:tcW w:w="2290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</w:rPr>
              <w:t>Mezőgazdasági termékek és élelmiszerek</w:t>
            </w:r>
          </w:p>
        </w:tc>
        <w:tc>
          <w:tcPr>
            <w:tcW w:w="2399" w:type="dxa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kizárólagos (1151/2012/EU rendelet)</w:t>
            </w:r>
          </w:p>
        </w:tc>
        <w:tc>
          <w:tcPr>
            <w:tcW w:w="2257" w:type="dxa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EU tagállamokban nem tartható fenn</w:t>
            </w:r>
          </w:p>
        </w:tc>
        <w:tc>
          <w:tcPr>
            <w:tcW w:w="2126" w:type="dxa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Lisszaboni Megállapodás (a 28 részes államban)</w:t>
            </w:r>
          </w:p>
        </w:tc>
      </w:tr>
      <w:tr w:rsidR="00D61BC0" w:rsidRPr="007123AC" w:rsidTr="007D2C46">
        <w:trPr>
          <w:trHeight w:val="1228"/>
        </w:trPr>
        <w:tc>
          <w:tcPr>
            <w:tcW w:w="2290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</w:rPr>
              <w:t>Szőlészeti és borászati termékek</w:t>
            </w:r>
            <w:r w:rsidR="00791D0F">
              <w:rPr>
                <w:rFonts w:ascii="Times New Roman" w:hAnsi="Times New Roman" w:cs="Times New Roman"/>
                <w:b/>
                <w:sz w:val="24"/>
                <w:szCs w:val="24"/>
              </w:rPr>
              <w:t>, ízesített borok</w:t>
            </w:r>
          </w:p>
        </w:tc>
        <w:tc>
          <w:tcPr>
            <w:tcW w:w="2399" w:type="dxa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kizárólagos (1308/2013/EU rendelet</w:t>
            </w:r>
            <w:r w:rsidR="00791D0F" w:rsidRPr="007123AC">
              <w:rPr>
                <w:rFonts w:ascii="Times New Roman" w:hAnsi="Times New Roman" w:cs="Times New Roman"/>
                <w:sz w:val="24"/>
                <w:szCs w:val="24"/>
              </w:rPr>
              <w:t>, 251/2014/EU rendelet</w:t>
            </w: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7" w:type="dxa"/>
            <w:vAlign w:val="center"/>
          </w:tcPr>
          <w:p w:rsidR="00D61BC0" w:rsidRPr="007123AC" w:rsidRDefault="00D61BC0" w:rsidP="007123A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EU tagállamokban nem tartható fenn</w:t>
            </w:r>
          </w:p>
        </w:tc>
        <w:tc>
          <w:tcPr>
            <w:tcW w:w="2126" w:type="dxa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Lisszaboni Megállapodás (a 28 részes államban)</w:t>
            </w:r>
          </w:p>
        </w:tc>
      </w:tr>
      <w:tr w:rsidR="00D61BC0" w:rsidRPr="007123AC" w:rsidTr="007D2C46">
        <w:trPr>
          <w:trHeight w:val="1246"/>
        </w:trPr>
        <w:tc>
          <w:tcPr>
            <w:tcW w:w="2290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</w:rPr>
              <w:t>Szeszes italok</w:t>
            </w:r>
          </w:p>
        </w:tc>
        <w:tc>
          <w:tcPr>
            <w:tcW w:w="2399" w:type="dxa"/>
            <w:vAlign w:val="center"/>
          </w:tcPr>
          <w:p w:rsidR="00D61BC0" w:rsidRPr="007123AC" w:rsidRDefault="00D61BC0" w:rsidP="00791D0F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párhuzamos (110/2008/EK rendelet)</w:t>
            </w:r>
          </w:p>
        </w:tc>
        <w:tc>
          <w:tcPr>
            <w:tcW w:w="2257" w:type="dxa"/>
            <w:vAlign w:val="center"/>
          </w:tcPr>
          <w:p w:rsidR="00D61BC0" w:rsidRPr="007123AC" w:rsidRDefault="00D61BC0" w:rsidP="00791D0F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párhuzamos (110/2008/EK rendelet) az uniós (és nemzetközi) oltalom alapját képezi</w:t>
            </w:r>
          </w:p>
        </w:tc>
        <w:tc>
          <w:tcPr>
            <w:tcW w:w="2126" w:type="dxa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Lisszaboni Megállapodás (a 28 részes államban)</w:t>
            </w:r>
          </w:p>
        </w:tc>
      </w:tr>
      <w:tr w:rsidR="00D61BC0" w:rsidRPr="007123AC" w:rsidTr="007D2C46">
        <w:trPr>
          <w:trHeight w:val="1122"/>
        </w:trPr>
        <w:tc>
          <w:tcPr>
            <w:tcW w:w="2290" w:type="dxa"/>
            <w:shd w:val="pct10" w:color="auto" w:fill="auto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b/>
                <w:sz w:val="24"/>
                <w:szCs w:val="24"/>
              </w:rPr>
              <w:t>Nem-mezőgazdasági termékek</w:t>
            </w:r>
          </w:p>
        </w:tc>
        <w:tc>
          <w:tcPr>
            <w:tcW w:w="2399" w:type="dxa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  <w:tc>
          <w:tcPr>
            <w:tcW w:w="2257" w:type="dxa"/>
            <w:vAlign w:val="center"/>
          </w:tcPr>
          <w:p w:rsidR="00D61BC0" w:rsidRPr="007123AC" w:rsidRDefault="00D61BC0" w:rsidP="00F55BA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sui</w:t>
            </w:r>
            <w:proofErr w:type="spellEnd"/>
            <w:r w:rsidRPr="007123AC">
              <w:rPr>
                <w:rFonts w:ascii="Times New Roman" w:hAnsi="Times New Roman" w:cs="Times New Roman"/>
                <w:sz w:val="24"/>
                <w:szCs w:val="24"/>
              </w:rPr>
              <w:t xml:space="preserve"> generis rendszer vagy </w:t>
            </w:r>
            <w:r w:rsidR="00F55BAA">
              <w:rPr>
                <w:rFonts w:ascii="Times New Roman" w:hAnsi="Times New Roman" w:cs="Times New Roman"/>
                <w:sz w:val="24"/>
                <w:szCs w:val="24"/>
              </w:rPr>
              <w:t xml:space="preserve">bizonyos tagállamokban </w:t>
            </w: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tanúsító/ együttes védjegyek útján</w:t>
            </w:r>
          </w:p>
        </w:tc>
        <w:tc>
          <w:tcPr>
            <w:tcW w:w="2126" w:type="dxa"/>
            <w:vAlign w:val="center"/>
          </w:tcPr>
          <w:p w:rsidR="00D61BC0" w:rsidRPr="007123AC" w:rsidRDefault="00D61BC0" w:rsidP="007123AC">
            <w:pPr>
              <w:spacing w:before="240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AC">
              <w:rPr>
                <w:rFonts w:ascii="Times New Roman" w:hAnsi="Times New Roman" w:cs="Times New Roman"/>
                <w:sz w:val="24"/>
                <w:szCs w:val="24"/>
              </w:rPr>
              <w:t>Lisszaboni Megállapodás (a 28 részes államban)</w:t>
            </w:r>
          </w:p>
        </w:tc>
      </w:tr>
    </w:tbl>
    <w:p w:rsidR="00114FDC" w:rsidRPr="007123AC" w:rsidRDefault="00FF0758" w:rsidP="002C0070">
      <w:pPr>
        <w:pStyle w:val="NormlWeb"/>
        <w:spacing w:after="0" w:afterAutospacing="0" w:line="360" w:lineRule="auto"/>
        <w:rPr>
          <w:sz w:val="20"/>
          <w:szCs w:val="20"/>
        </w:rPr>
      </w:pPr>
      <w:r w:rsidRPr="007123AC">
        <w:rPr>
          <w:sz w:val="20"/>
          <w:szCs w:val="20"/>
        </w:rPr>
        <w:t>*Nemzetközi oltalom részét képezik továbbá az államok között fennálló bilaterális megállapodások. Magyarországon jelenleg 2 ilyen megállapodás van hatályban</w:t>
      </w:r>
      <w:r w:rsidRPr="007123AC">
        <w:rPr>
          <w:b/>
          <w:sz w:val="20"/>
          <w:szCs w:val="20"/>
        </w:rPr>
        <w:t xml:space="preserve">: </w:t>
      </w:r>
      <w:r w:rsidRPr="007123AC">
        <w:rPr>
          <w:sz w:val="20"/>
          <w:szCs w:val="20"/>
        </w:rPr>
        <w:t>a</w:t>
      </w:r>
      <w:r w:rsidRPr="007123AC">
        <w:rPr>
          <w:bCs/>
          <w:sz w:val="20"/>
          <w:szCs w:val="20"/>
        </w:rPr>
        <w:t xml:space="preserve"> Magyar Népköztársaság és a Svájci Államszövetség között létrejött, a származási jelzések, </w:t>
      </w:r>
      <w:proofErr w:type="spellStart"/>
      <w:r w:rsidRPr="007123AC">
        <w:rPr>
          <w:bCs/>
          <w:sz w:val="20"/>
          <w:szCs w:val="20"/>
        </w:rPr>
        <w:t>eredetmegjelölések</w:t>
      </w:r>
      <w:proofErr w:type="spellEnd"/>
      <w:r w:rsidRPr="007123AC">
        <w:rPr>
          <w:bCs/>
          <w:sz w:val="20"/>
          <w:szCs w:val="20"/>
        </w:rPr>
        <w:t xml:space="preserve"> és egyéb földrajzi megjelölések oltalmáról szóló szerződés (kihirdette az 1981. évi 27. törvényerejű rendelet), valamint a Magyar Népköztársaság és a Portugál Köztársaság Kormányai között létrejött, a származási jelzések, </w:t>
      </w:r>
      <w:proofErr w:type="spellStart"/>
      <w:r w:rsidRPr="007123AC">
        <w:rPr>
          <w:bCs/>
          <w:sz w:val="20"/>
          <w:szCs w:val="20"/>
        </w:rPr>
        <w:t>eredetmegjelölések</w:t>
      </w:r>
      <w:proofErr w:type="spellEnd"/>
      <w:r w:rsidRPr="007123AC">
        <w:rPr>
          <w:bCs/>
          <w:sz w:val="20"/>
          <w:szCs w:val="20"/>
        </w:rPr>
        <w:t xml:space="preserve"> és egyéb földrajzi megnevezések oltalmáról szóló Megállapodás (kihirdette a </w:t>
      </w:r>
      <w:r w:rsidRPr="007123AC">
        <w:rPr>
          <w:sz w:val="20"/>
          <w:szCs w:val="20"/>
        </w:rPr>
        <w:t>49/1986. (XI. 12.) MT rendelet).</w:t>
      </w:r>
    </w:p>
    <w:p w:rsidR="00D61BC0" w:rsidRPr="007123AC" w:rsidRDefault="00D61BC0" w:rsidP="007123AC">
      <w:pPr>
        <w:pStyle w:val="211alcm"/>
        <w:spacing w:before="240" w:after="100" w:afterAutospacing="1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3.1. A földrajzi árujelzők oltalmának típusai az európai unióban</w:t>
      </w:r>
    </w:p>
    <w:p w:rsidR="00D61BC0" w:rsidRPr="007123AC" w:rsidRDefault="00D61BC0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Az Európai Unióban az élelmiszerek és a mezőgazdasági termékek, valamint a szőlészeti és borászati termékek földrajzi árujelzőire nézve kizárólagos oltalmi rendszer működik. Az oltalom megszerzése kétlépcsős eljárásban történik. A földrajzi árujelző által kijelölt területen termelő csoportosulások kérelmet, valamint részletes, az uniós követelményeknek megfelelő termékleírást nyújtanak be a tagállam kijelölt hatóságához (ez Magyarországon az agrárpolitikáért felelős miniszter). A </w:t>
      </w:r>
      <w:r w:rsidR="0055421C">
        <w:rPr>
          <w:rFonts w:ascii="Times New Roman" w:hAnsi="Times New Roman" w:cs="Times New Roman"/>
          <w:sz w:val="24"/>
          <w:szCs w:val="24"/>
        </w:rPr>
        <w:t>miniszter</w:t>
      </w:r>
      <w:r w:rsidRPr="007123AC">
        <w:rPr>
          <w:rFonts w:ascii="Times New Roman" w:hAnsi="Times New Roman" w:cs="Times New Roman"/>
          <w:sz w:val="24"/>
          <w:szCs w:val="24"/>
        </w:rPr>
        <w:t xml:space="preserve"> – az esetleges iparjogvédelmi konfliktusokat a szellemi tulajdonért felelős hatósággal tisztázva</w:t>
      </w:r>
      <w:r w:rsidR="00537EE3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7123AC">
        <w:rPr>
          <w:rFonts w:ascii="Times New Roman" w:hAnsi="Times New Roman" w:cs="Times New Roman"/>
          <w:sz w:val="24"/>
          <w:szCs w:val="24"/>
        </w:rPr>
        <w:t xml:space="preserve"> – közzéteszi a kérelmet, amelynek nyomán meghatározott határidőn belül harmadik személyek részéről kifogás nyújtható be a </w:t>
      </w:r>
      <w:proofErr w:type="gramStart"/>
      <w:r w:rsidRPr="007123AC">
        <w:rPr>
          <w:rFonts w:ascii="Times New Roman" w:hAnsi="Times New Roman" w:cs="Times New Roman"/>
          <w:sz w:val="24"/>
          <w:szCs w:val="24"/>
        </w:rPr>
        <w:t>kérelem kedvező</w:t>
      </w:r>
      <w:proofErr w:type="gramEnd"/>
      <w:r w:rsidRPr="007123AC">
        <w:rPr>
          <w:rFonts w:ascii="Times New Roman" w:hAnsi="Times New Roman" w:cs="Times New Roman"/>
          <w:sz w:val="24"/>
          <w:szCs w:val="24"/>
        </w:rPr>
        <w:t xml:space="preserve"> elbírálása ellen. </w:t>
      </w:r>
      <w:proofErr w:type="gramStart"/>
      <w:r w:rsidRPr="007123AC">
        <w:rPr>
          <w:rFonts w:ascii="Times New Roman" w:hAnsi="Times New Roman" w:cs="Times New Roman"/>
          <w:sz w:val="24"/>
          <w:szCs w:val="24"/>
        </w:rPr>
        <w:t>Ha az oltalom alá helyezni kívánt megjelölés megfelel a 3.b) pontban ismertetett definíciók egyikének, illetve nem tekinthető az általa megjelölt termékek ún. fajtanevének (azaz egy terméktípus szokásos megnevezésének, amely földrajzi nevet tartalmaz ugyan, de már nem köti a terméket a név által jelölt eredethez), valamint nem ütközik növény- és állatfajták nevével vagy jó hírnevet élvező védjegyekkel, az esetlegesen beérkezett kifogás pedig alaptalannak bizonyult, és a termékleírás is megfelel a követelményeknek, a nemzeti hatóság továbbítja a kérelmet az Európai Bizottsághoz.</w:t>
      </w:r>
      <w:proofErr w:type="gramEnd"/>
      <w:r w:rsidRPr="007123AC">
        <w:rPr>
          <w:rFonts w:ascii="Times New Roman" w:hAnsi="Times New Roman" w:cs="Times New Roman"/>
          <w:sz w:val="24"/>
          <w:szCs w:val="24"/>
        </w:rPr>
        <w:t xml:space="preserve"> Az eljárás második szakaszában az Európai Bizottság – a kérelemnek az Európai Unió hivatalos lapjában való meghirdetésével – lefolytatja az uniós szintű kifogásolási eljárást, amelynek során más tagállamok (illetve az ottani érdekelt személyek) </w:t>
      </w:r>
      <w:r w:rsidR="003B4FFA">
        <w:rPr>
          <w:rFonts w:ascii="Times New Roman" w:hAnsi="Times New Roman" w:cs="Times New Roman"/>
          <w:sz w:val="24"/>
          <w:szCs w:val="24"/>
        </w:rPr>
        <w:t>léphetnek fel</w:t>
      </w:r>
      <w:r w:rsidRPr="007123AC">
        <w:rPr>
          <w:rFonts w:ascii="Times New Roman" w:hAnsi="Times New Roman" w:cs="Times New Roman"/>
          <w:sz w:val="24"/>
          <w:szCs w:val="24"/>
        </w:rPr>
        <w:t xml:space="preserve"> a megjelölés uniós oltalomban részesítésével szemben. A kérelemről a végső döntést az Európai Bizottság hozza meg, bejegyezve 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eredetmegjelölést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vagy a földrajzi jelzést az oltalom alatt álló földrajzi árujelzők uniós nyilvántartásába. Az oltalom alatt álló földrajzi árujelzőket a mezőgazdasági termékek esetében a DOOR adatbázis, szőlészeti, borászati termékek esetében pedig az e-Bacchus adatbázis tartalmazza. Mindkét nyilvántartás online érhető el az Európai Bizottság honlapjáról.</w:t>
      </w:r>
    </w:p>
    <w:p w:rsidR="007A5848" w:rsidRPr="007123AC" w:rsidRDefault="00D61BC0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szeszes italok földrajzi árujelzőinek oltalma más logika szerint működik: az uniós oltalom iránti kérelmet a tagállamok nyújthatják be</w:t>
      </w:r>
      <w:r w:rsidRPr="0071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3AC">
        <w:rPr>
          <w:rFonts w:ascii="Times New Roman" w:hAnsi="Times New Roman" w:cs="Times New Roman"/>
          <w:sz w:val="24"/>
          <w:szCs w:val="24"/>
        </w:rPr>
        <w:t>az Európai Bizottsághoz – de csak akkor, ha az adott földrajzi árujelző az adott tagállamban nemzeti oltalom alatt áll. A nemzeti oltalom megszerzése iránti kérelmet – és a termékleírást – Magyarországon a</w:t>
      </w:r>
      <w:r w:rsidR="00242D8A">
        <w:rPr>
          <w:rFonts w:ascii="Times New Roman" w:hAnsi="Times New Roman" w:cs="Times New Roman"/>
          <w:sz w:val="24"/>
          <w:szCs w:val="24"/>
        </w:rPr>
        <w:t xml:space="preserve"> Szellemi Tulajdon Nemzeti</w:t>
      </w:r>
      <w:r w:rsidRPr="007123AC">
        <w:rPr>
          <w:rFonts w:ascii="Times New Roman" w:hAnsi="Times New Roman" w:cs="Times New Roman"/>
          <w:sz w:val="24"/>
          <w:szCs w:val="24"/>
        </w:rPr>
        <w:t xml:space="preserve"> Hivatal</w:t>
      </w:r>
      <w:r w:rsidR="00242D8A">
        <w:rPr>
          <w:rFonts w:ascii="Times New Roman" w:hAnsi="Times New Roman" w:cs="Times New Roman"/>
          <w:sz w:val="24"/>
          <w:szCs w:val="24"/>
        </w:rPr>
        <w:t>á</w:t>
      </w:r>
      <w:r w:rsidRPr="007123AC">
        <w:rPr>
          <w:rFonts w:ascii="Times New Roman" w:hAnsi="Times New Roman" w:cs="Times New Roman"/>
          <w:sz w:val="24"/>
          <w:szCs w:val="24"/>
        </w:rPr>
        <w:t>nál kell benyújtani, amely az agrárpolitikáért felelős miniszter egyetértése esetén részesíti oltalomban a kérdéses megjelölést.</w:t>
      </w:r>
    </w:p>
    <w:p w:rsidR="00D61BC0" w:rsidRPr="007123AC" w:rsidRDefault="00D61BC0" w:rsidP="007123AC">
      <w:pPr>
        <w:pStyle w:val="211alcm"/>
        <w:spacing w:before="240" w:after="100" w:afterAutospacing="1" w:line="360" w:lineRule="auto"/>
        <w:ind w:firstLine="708"/>
        <w:rPr>
          <w:rStyle w:val="kvr"/>
          <w:rFonts w:ascii="Times New Roman" w:hAnsi="Times New Roman" w:cs="Times New Roman"/>
          <w:b/>
          <w:sz w:val="26"/>
          <w:szCs w:val="26"/>
        </w:rPr>
      </w:pP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3.2. A nemzeti oltalom alatt álló földrajzi árujelzők</w:t>
      </w:r>
    </w:p>
    <w:p w:rsidR="002B1875" w:rsidRPr="007123AC" w:rsidRDefault="00D61BC0" w:rsidP="00B91738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 földrajzi árujelzők oltalmára a magyar jog is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generis rendszert működtet, szinte teljes mértékben leképezve 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eredetmegjelölések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és a földrajzi jelzések fent ismertetett kategóriáit. A hazai szabályok által biztosított nemzeti oltalmat azonban – az uniós jog rendelkezéseiből következően – csak ipari, kézműipari termékekre (pl. csipke, acélpenge) és szeszes italokra vonatkozó földrajzi árujelzőkre lehet megszerezni, az élelmiszerek, a mezőgazdasági termékek, a borok és az ízesített borok „eredetvédelmi” megjelölései csak az uniós rendszerekben részesülhetnek oltalomban.</w:t>
      </w:r>
    </w:p>
    <w:p w:rsidR="00223974" w:rsidRPr="007123AC" w:rsidRDefault="00EF79A7" w:rsidP="00B91738">
      <w:pPr>
        <w:pStyle w:val="Default"/>
        <w:widowControl w:val="0"/>
        <w:spacing w:after="100" w:afterAutospacing="1" w:line="360" w:lineRule="auto"/>
        <w:rPr>
          <w:rFonts w:eastAsia="Calibri"/>
        </w:rPr>
      </w:pPr>
      <w:r w:rsidRPr="007123AC">
        <w:t>A</w:t>
      </w:r>
      <w:r w:rsidR="00881C73" w:rsidRPr="007123AC">
        <w:t xml:space="preserve"> nemzeti</w:t>
      </w:r>
      <w:r w:rsidR="00D8167B" w:rsidRPr="007123AC">
        <w:t xml:space="preserve"> </w:t>
      </w:r>
      <w:proofErr w:type="spellStart"/>
      <w:r w:rsidR="00D8167B" w:rsidRPr="007123AC">
        <w:t>földrajziárujelző-oltalmi</w:t>
      </w:r>
      <w:proofErr w:type="spellEnd"/>
      <w:r w:rsidR="00881C73" w:rsidRPr="007123AC">
        <w:t xml:space="preserve"> </w:t>
      </w:r>
      <w:r w:rsidR="00AE30B7" w:rsidRPr="007123AC">
        <w:t>bejelentést a</w:t>
      </w:r>
      <w:r w:rsidR="00FD31E6">
        <w:t>z SZTNH</w:t>
      </w:r>
      <w:r w:rsidR="00AE30B7" w:rsidRPr="007123AC">
        <w:t xml:space="preserve"> </w:t>
      </w:r>
      <w:r w:rsidR="00503CED" w:rsidRPr="007123AC">
        <w:t>bírálja el</w:t>
      </w:r>
      <w:r w:rsidRPr="007123AC">
        <w:t xml:space="preserve"> a védjegyek és a föld</w:t>
      </w:r>
      <w:r w:rsidR="00881C73" w:rsidRPr="007123AC">
        <w:t>r</w:t>
      </w:r>
      <w:r w:rsidRPr="007123AC">
        <w:t>ajzi árujelzők oltalmáról szóló 1997. évi XI. törvény (a továbbiakban: Vt.)</w:t>
      </w:r>
      <w:r w:rsidR="00786055" w:rsidRPr="007123AC">
        <w:t xml:space="preserve"> </w:t>
      </w:r>
      <w:r w:rsidRPr="007123AC">
        <w:t>113. §</w:t>
      </w:r>
      <w:proofErr w:type="spellStart"/>
      <w:r w:rsidRPr="007123AC">
        <w:t>-</w:t>
      </w:r>
      <w:r w:rsidR="00AE30B7" w:rsidRPr="007123AC">
        <w:t>ában</w:t>
      </w:r>
      <w:proofErr w:type="spellEnd"/>
      <w:r w:rsidR="00AE30B7" w:rsidRPr="007123AC">
        <w:t xml:space="preserve"> meghatározott speciális eljárás keretében</w:t>
      </w:r>
      <w:r w:rsidR="00007360" w:rsidRPr="007123AC">
        <w:t>.</w:t>
      </w:r>
      <w:r w:rsidR="00E66131" w:rsidRPr="007123AC">
        <w:t xml:space="preserve"> </w:t>
      </w:r>
      <w:r w:rsidR="00EF125E" w:rsidRPr="007123AC">
        <w:t>A</w:t>
      </w:r>
      <w:r w:rsidR="00FD31E6">
        <w:t>z SZTNH</w:t>
      </w:r>
      <w:r w:rsidR="00EF125E" w:rsidRPr="007123AC">
        <w:t xml:space="preserve"> a megjelölést akkor lajstromozza</w:t>
      </w:r>
      <w:r w:rsidR="001A27AC" w:rsidRPr="007123AC">
        <w:t xml:space="preserve"> </w:t>
      </w:r>
      <w:r w:rsidR="00EF125E" w:rsidRPr="007123AC">
        <w:t>földrajzi árujelzőként, ha a bejelentés megfelel a</w:t>
      </w:r>
      <w:r w:rsidR="00007360" w:rsidRPr="007123AC">
        <w:t xml:space="preserve"> </w:t>
      </w:r>
      <w:r w:rsidR="00EF125E" w:rsidRPr="007123AC">
        <w:t>törvényben előírt feltételeknek, és a megjelölés nincs kizárva az oltalomból.</w:t>
      </w:r>
      <w:r w:rsidR="00B97A3D" w:rsidRPr="007123AC">
        <w:t xml:space="preserve"> </w:t>
      </w:r>
      <w:r w:rsidR="00EF125E" w:rsidRPr="007123AC">
        <w:t xml:space="preserve">Az oltalomból való kizártság eseteit, azaz a lajstromozást kizáró okokat </w:t>
      </w:r>
      <w:r w:rsidR="000B34FA" w:rsidRPr="007123AC">
        <w:t>a Vt. 105-106. §</w:t>
      </w:r>
      <w:proofErr w:type="spellStart"/>
      <w:r w:rsidR="000B34FA" w:rsidRPr="007123AC">
        <w:t>-ai</w:t>
      </w:r>
      <w:proofErr w:type="spellEnd"/>
      <w:r w:rsidR="000B34FA" w:rsidRPr="007123AC">
        <w:t xml:space="preserve"> </w:t>
      </w:r>
      <w:r w:rsidR="002444C2" w:rsidRPr="007123AC">
        <w:t>határozzák meg</w:t>
      </w:r>
      <w:r w:rsidR="000B34FA" w:rsidRPr="007123AC">
        <w:t xml:space="preserve">. </w:t>
      </w:r>
      <w:r w:rsidR="00977ED8" w:rsidRPr="007123AC">
        <w:t>A Vt. 105. §</w:t>
      </w:r>
      <w:proofErr w:type="spellStart"/>
      <w:r w:rsidR="00977ED8" w:rsidRPr="007123AC">
        <w:t>-ában</w:t>
      </w:r>
      <w:proofErr w:type="spellEnd"/>
      <w:r w:rsidR="00977ED8" w:rsidRPr="007123AC">
        <w:t xml:space="preserve"> meghatározott feltétlen kizáró ok vizsgálata kiemelkedő jelentőség</w:t>
      </w:r>
      <w:r w:rsidR="00722821">
        <w:t>ű</w:t>
      </w:r>
      <w:r w:rsidR="002C3EE8" w:rsidRPr="007123AC">
        <w:t xml:space="preserve"> a lajstromozási eljárásban</w:t>
      </w:r>
      <w:r w:rsidR="00977ED8" w:rsidRPr="007123AC">
        <w:t>, mivel a</w:t>
      </w:r>
      <w:r w:rsidR="00FD31E6">
        <w:t xml:space="preserve">z </w:t>
      </w:r>
      <w:proofErr w:type="spellStart"/>
      <w:r w:rsidR="00FD31E6">
        <w:t>SZTNH-nak</w:t>
      </w:r>
      <w:proofErr w:type="spellEnd"/>
      <w:r w:rsidR="00B5306D" w:rsidRPr="007123AC">
        <w:t xml:space="preserve">– a nemzetközi jogi normák előírásaira is tekintettel – kiemelt figyelmet kell fordítania arra, </w:t>
      </w:r>
      <w:r w:rsidR="002444C2" w:rsidRPr="007123AC">
        <w:rPr>
          <w:rFonts w:eastAsia="Calibri"/>
        </w:rPr>
        <w:t xml:space="preserve">hogy </w:t>
      </w:r>
      <w:r w:rsidR="00972B85" w:rsidRPr="007123AC">
        <w:t>az olyan megjelölések,</w:t>
      </w:r>
      <w:r w:rsidR="002444C2" w:rsidRPr="007123AC">
        <w:t xml:space="preserve"> </w:t>
      </w:r>
      <w:r w:rsidR="00972B85" w:rsidRPr="007123AC">
        <w:t>am</w:t>
      </w:r>
      <w:r w:rsidR="002444C2" w:rsidRPr="007123AC">
        <w:t xml:space="preserve">elyek </w:t>
      </w:r>
      <w:r w:rsidR="0063682E" w:rsidRPr="007123AC">
        <w:t xml:space="preserve">a kereskedelmi forgalomban </w:t>
      </w:r>
      <w:r w:rsidR="002444C2" w:rsidRPr="007123AC">
        <w:t xml:space="preserve">egy adott </w:t>
      </w:r>
      <w:proofErr w:type="gramStart"/>
      <w:r w:rsidR="002444C2" w:rsidRPr="007123AC">
        <w:t>termék</w:t>
      </w:r>
      <w:r w:rsidR="001C7671" w:rsidRPr="007123AC">
        <w:t xml:space="preserve"> </w:t>
      </w:r>
      <w:r w:rsidR="002444C2" w:rsidRPr="007123AC">
        <w:t>szokásos</w:t>
      </w:r>
      <w:proofErr w:type="gramEnd"/>
      <w:r w:rsidR="002444C2" w:rsidRPr="007123AC">
        <w:t xml:space="preserve"> elnevezésé váltak</w:t>
      </w:r>
      <w:r w:rsidR="00972B85" w:rsidRPr="007123AC">
        <w:t xml:space="preserve">, ne </w:t>
      </w:r>
      <w:r w:rsidR="002444C2" w:rsidRPr="007123AC">
        <w:t xml:space="preserve">részesülhessenek </w:t>
      </w:r>
      <w:proofErr w:type="spellStart"/>
      <w:r w:rsidR="002444C2" w:rsidRPr="007123AC">
        <w:t>földrajziárujelző-</w:t>
      </w:r>
      <w:r w:rsidR="00972B85" w:rsidRPr="007123AC">
        <w:t>oltalomban</w:t>
      </w:r>
      <w:proofErr w:type="spellEnd"/>
      <w:r w:rsidR="002444C2" w:rsidRPr="007123AC">
        <w:t xml:space="preserve">. </w:t>
      </w:r>
      <w:r w:rsidR="002C3EE8" w:rsidRPr="007123AC">
        <w:rPr>
          <w:rFonts w:eastAsia="Calibri"/>
        </w:rPr>
        <w:t>A fogyasztók számára ugyanis a</w:t>
      </w:r>
      <w:r w:rsidR="00445927" w:rsidRPr="007123AC">
        <w:rPr>
          <w:rFonts w:eastAsia="Calibri"/>
        </w:rPr>
        <w:t xml:space="preserve"> „fajtanévvé”</w:t>
      </w:r>
      <w:r w:rsidR="001C7671" w:rsidRPr="007123AC">
        <w:rPr>
          <w:rFonts w:eastAsia="Calibri"/>
        </w:rPr>
        <w:t>, azaz a termék szokásos nevévé</w:t>
      </w:r>
      <w:r w:rsidR="00445927" w:rsidRPr="007123AC">
        <w:rPr>
          <w:rFonts w:eastAsia="Calibri"/>
        </w:rPr>
        <w:t xml:space="preserve"> vált</w:t>
      </w:r>
      <w:r w:rsidR="002C3EE8" w:rsidRPr="007123AC">
        <w:rPr>
          <w:rFonts w:eastAsia="Calibri"/>
        </w:rPr>
        <w:t xml:space="preserve"> megjelölés </w:t>
      </w:r>
      <w:r w:rsidR="00445927" w:rsidRPr="007123AC">
        <w:t>– m</w:t>
      </w:r>
      <w:r w:rsidR="00445927" w:rsidRPr="007123AC">
        <w:rPr>
          <w:rFonts w:eastAsia="Calibri"/>
        </w:rPr>
        <w:t xml:space="preserve">ég ha az érintett termékek eredetileg a név által felidézett területről származtak is, sőt, egy részüket még ma is ott állítják elő </w:t>
      </w:r>
      <w:r w:rsidR="00445927" w:rsidRPr="007123AC">
        <w:t xml:space="preserve">– </w:t>
      </w:r>
      <w:r w:rsidR="002C3EE8" w:rsidRPr="007123AC">
        <w:rPr>
          <w:rFonts w:eastAsia="Calibri"/>
        </w:rPr>
        <w:t xml:space="preserve">már nem a termék földrajzi származását jelöli, hanem inkább annak fajtáját vagy típusát </w:t>
      </w:r>
      <w:r w:rsidR="00932059" w:rsidRPr="007123AC">
        <w:rPr>
          <w:rFonts w:eastAsia="Calibri"/>
        </w:rPr>
        <w:t xml:space="preserve">írja le </w:t>
      </w:r>
      <w:r w:rsidR="002C3EE8" w:rsidRPr="007123AC">
        <w:rPr>
          <w:rFonts w:eastAsia="Calibri"/>
        </w:rPr>
        <w:t>(példaként a</w:t>
      </w:r>
      <w:r w:rsidR="00A649D0">
        <w:rPr>
          <w:rFonts w:eastAsia="Calibri"/>
        </w:rPr>
        <w:t xml:space="preserve"> </w:t>
      </w:r>
      <w:r w:rsidR="00D70AE3">
        <w:rPr>
          <w:rFonts w:eastAsia="Calibri"/>
        </w:rPr>
        <w:t xml:space="preserve">bécsi </w:t>
      </w:r>
      <w:r w:rsidR="00A649D0">
        <w:rPr>
          <w:rFonts w:eastAsia="Calibri"/>
        </w:rPr>
        <w:t>szeletet vagy a linzert</w:t>
      </w:r>
      <w:r w:rsidR="002C3EE8" w:rsidRPr="007123AC">
        <w:rPr>
          <w:rFonts w:eastAsia="Calibri"/>
        </w:rPr>
        <w:t xml:space="preserve"> </w:t>
      </w:r>
      <w:r w:rsidR="00445927" w:rsidRPr="007123AC">
        <w:rPr>
          <w:rFonts w:eastAsia="Calibri"/>
        </w:rPr>
        <w:t xml:space="preserve">szokás említeni). </w:t>
      </w:r>
      <w:r w:rsidR="005E0F07" w:rsidRPr="007123AC">
        <w:rPr>
          <w:rFonts w:eastAsia="Calibri"/>
        </w:rPr>
        <w:t>F</w:t>
      </w:r>
      <w:r w:rsidR="00A40F67" w:rsidRPr="007123AC">
        <w:rPr>
          <w:rFonts w:eastAsia="Calibri"/>
        </w:rPr>
        <w:t>ontos</w:t>
      </w:r>
      <w:r w:rsidR="005E0F07" w:rsidRPr="007123AC">
        <w:rPr>
          <w:rFonts w:eastAsia="Calibri"/>
        </w:rPr>
        <w:t xml:space="preserve"> ugyanakkor</w:t>
      </w:r>
      <w:r w:rsidR="00A40F67" w:rsidRPr="007123AC">
        <w:rPr>
          <w:rFonts w:eastAsia="Calibri"/>
        </w:rPr>
        <w:t xml:space="preserve"> az is, hogy </w:t>
      </w:r>
      <w:r w:rsidR="00881C73" w:rsidRPr="007123AC">
        <w:rPr>
          <w:rFonts w:eastAsia="Calibri"/>
        </w:rPr>
        <w:t xml:space="preserve">a lajstromozást követően egy megjelölés nem válhat szokásos elnevezéssé, azaz az oltalom „védőernyőt” jelent az ellen, hogy egy földrajzi nevet tartalmazó kifejezés egy terméktípus általános megnevezésévé váljon. </w:t>
      </w:r>
    </w:p>
    <w:p w:rsidR="00835B14" w:rsidRPr="007123AC" w:rsidRDefault="00835B14" w:rsidP="007123AC">
      <w:pPr>
        <w:pStyle w:val="Default"/>
        <w:widowControl w:val="0"/>
        <w:spacing w:line="360" w:lineRule="auto"/>
      </w:pPr>
      <w:r w:rsidRPr="007123AC">
        <w:t xml:space="preserve">Kiemelendő, hogy magyar nemzeti </w:t>
      </w:r>
      <w:proofErr w:type="spellStart"/>
      <w:r w:rsidRPr="007123AC">
        <w:t>földrajziárujelző-oltalom</w:t>
      </w:r>
      <w:proofErr w:type="spellEnd"/>
      <w:r w:rsidRPr="007123AC">
        <w:t xml:space="preserve"> külföldi személyeket csak nemzetközi szerződés v</w:t>
      </w:r>
      <w:r w:rsidR="009016E0">
        <w:t>agy viszonosság esetén illethet</w:t>
      </w:r>
      <w:r w:rsidRPr="007123AC">
        <w:t xml:space="preserve"> meg.</w:t>
      </w:r>
      <w:r w:rsidRPr="007123AC">
        <w:rPr>
          <w:rStyle w:val="Lbjegyzet-hivatkozs"/>
        </w:rPr>
        <w:footnoteReference w:id="4"/>
      </w:r>
      <w:r w:rsidRPr="007123AC">
        <w:t xml:space="preserve"> </w:t>
      </w:r>
    </w:p>
    <w:p w:rsidR="00D61BC0" w:rsidRPr="007123AC" w:rsidRDefault="00D61BC0" w:rsidP="007123AC">
      <w:pPr>
        <w:pStyle w:val="211alcm"/>
        <w:spacing w:before="240" w:after="100" w:afterAutospacing="1" w:line="360" w:lineRule="auto"/>
        <w:ind w:firstLine="708"/>
        <w:rPr>
          <w:rStyle w:val="kvr"/>
          <w:rFonts w:ascii="Times New Roman" w:hAnsi="Times New Roman" w:cs="Times New Roman"/>
          <w:b/>
          <w:sz w:val="26"/>
          <w:szCs w:val="26"/>
        </w:rPr>
      </w:pP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3.3. A lisszaboni megállapodás</w:t>
      </w:r>
    </w:p>
    <w:p w:rsidR="00D61BC0" w:rsidRPr="007123AC" w:rsidRDefault="00D61BC0" w:rsidP="009A485A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eredetmegjelölések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nemzetközi oltalmát a WIPO keretei között működő Lisszaboni Megállapodás alapján lehet igényelni. A nemzetközi lajstromozást 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által meghatározott származási ország hatóságai kezdeményezhetik a WIPO Nemzetközi Irodájánál, ha az adott országban a megjelölés oltalom alatt áll.</w:t>
      </w:r>
    </w:p>
    <w:p w:rsidR="00D61BC0" w:rsidRPr="007123AC" w:rsidRDefault="00D61BC0" w:rsidP="009A485A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származási országon kívüli részes államoknak a nemzetközi lajstromozásról szóló értesítést követő egy éven belül van lehetőségük arra, hogy olyan értelmű nyilatkozatot tegyenek, miszerint – valamilyen lajstromozást kizáró ok alapján – nem áll módjukban az adott megjelölés oltalmát biztosítani. Ez ellen az érdekeltek az elutasítást közlő állam jogorvoslati fórumait vehetik igénybe.</w:t>
      </w:r>
    </w:p>
    <w:p w:rsidR="00D61BC0" w:rsidRPr="007123AC" w:rsidRDefault="00D61BC0" w:rsidP="009A485A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 nemzetközi lajstromozás magas szintű (fogyasztói észleléstől független) oltalmat </w:t>
      </w:r>
      <w:r w:rsidR="0078106C" w:rsidRPr="007123AC">
        <w:rPr>
          <w:rFonts w:ascii="Times New Roman" w:hAnsi="Times New Roman" w:cs="Times New Roman"/>
          <w:sz w:val="24"/>
          <w:szCs w:val="24"/>
        </w:rPr>
        <w:t>eredményez a 28</w:t>
      </w:r>
      <w:r w:rsidRPr="007123AC">
        <w:rPr>
          <w:rFonts w:ascii="Times New Roman" w:hAnsi="Times New Roman" w:cs="Times New Roman"/>
          <w:sz w:val="24"/>
          <w:szCs w:val="24"/>
        </w:rPr>
        <w:t xml:space="preserve"> szerződő államban, és amíg a megjelölés a származási országban oltalmat élvez, addig a többi szerződő államban sem válhat fajtanévvé, illetve – határidőben tett elutasító nyilatkozat hiányában – nem veszítheti el az oltalmat. A nemzetközi lajstromozásból fakadó oltalomhoz azonban nem kapcsolódik termékleírás, és a hozzá fűződő hatósági jogérvényesítés </w:t>
      </w:r>
      <w:r w:rsidR="003223B1">
        <w:rPr>
          <w:rFonts w:ascii="Times New Roman" w:hAnsi="Times New Roman" w:cs="Times New Roman"/>
          <w:sz w:val="24"/>
          <w:szCs w:val="24"/>
        </w:rPr>
        <w:t xml:space="preserve">tekintetében </w:t>
      </w:r>
      <w:r w:rsidR="003F4BD9">
        <w:rPr>
          <w:rFonts w:ascii="Times New Roman" w:hAnsi="Times New Roman" w:cs="Times New Roman"/>
          <w:sz w:val="24"/>
          <w:szCs w:val="24"/>
        </w:rPr>
        <w:t xml:space="preserve">is </w:t>
      </w:r>
      <w:r w:rsidR="00791D0F">
        <w:rPr>
          <w:rFonts w:ascii="Times New Roman" w:hAnsi="Times New Roman" w:cs="Times New Roman"/>
          <w:sz w:val="24"/>
          <w:szCs w:val="24"/>
        </w:rPr>
        <w:t>csak minimum</w:t>
      </w:r>
      <w:r w:rsidR="00157BCF">
        <w:rPr>
          <w:rFonts w:ascii="Times New Roman" w:hAnsi="Times New Roman" w:cs="Times New Roman"/>
          <w:sz w:val="24"/>
          <w:szCs w:val="24"/>
        </w:rPr>
        <w:t xml:space="preserve"> </w:t>
      </w:r>
      <w:r w:rsidR="00791D0F">
        <w:rPr>
          <w:rFonts w:ascii="Times New Roman" w:hAnsi="Times New Roman" w:cs="Times New Roman"/>
          <w:sz w:val="24"/>
          <w:szCs w:val="24"/>
        </w:rPr>
        <w:t>követelményeket határoz meg</w:t>
      </w:r>
      <w:r w:rsidR="003223B1">
        <w:rPr>
          <w:rFonts w:ascii="Times New Roman" w:hAnsi="Times New Roman" w:cs="Times New Roman"/>
          <w:sz w:val="24"/>
          <w:szCs w:val="24"/>
        </w:rPr>
        <w:t xml:space="preserve"> a Lisszaboni Megállapodás</w:t>
      </w:r>
      <w:r w:rsidR="00791D0F">
        <w:rPr>
          <w:rFonts w:ascii="Times New Roman" w:hAnsi="Times New Roman" w:cs="Times New Roman"/>
          <w:sz w:val="24"/>
          <w:szCs w:val="24"/>
        </w:rPr>
        <w:t>:</w:t>
      </w:r>
      <w:r w:rsidRPr="007123AC">
        <w:rPr>
          <w:rFonts w:ascii="Times New Roman" w:hAnsi="Times New Roman" w:cs="Times New Roman"/>
          <w:sz w:val="24"/>
          <w:szCs w:val="24"/>
        </w:rPr>
        <w:t xml:space="preserve"> a részes államoknak nem kell az ellenőrző hatóságok számára fellépési kötelezettséget előírniuk, elegendő a perindítás lehetőségét biztosítani. Magyarországon a törvényi szabályozás kimondja, hogy a nemzetközi lajstromozással ugyanolyan oltalom keletkezik, mint a</w:t>
      </w:r>
      <w:r w:rsidR="00FD31E6">
        <w:rPr>
          <w:rFonts w:ascii="Times New Roman" w:hAnsi="Times New Roman" w:cs="Times New Roman"/>
          <w:sz w:val="24"/>
          <w:szCs w:val="24"/>
        </w:rPr>
        <w:t>z SZTNH</w:t>
      </w:r>
      <w:r w:rsidRPr="007123AC">
        <w:rPr>
          <w:rFonts w:ascii="Times New Roman" w:hAnsi="Times New Roman" w:cs="Times New Roman"/>
          <w:sz w:val="24"/>
          <w:szCs w:val="24"/>
        </w:rPr>
        <w:t xml:space="preserve"> által történt nemzeti lajstromozás alapján – feltéve, hogy a</w:t>
      </w:r>
      <w:r w:rsidR="00FD31E6">
        <w:rPr>
          <w:rFonts w:ascii="Times New Roman" w:hAnsi="Times New Roman" w:cs="Times New Roman"/>
          <w:sz w:val="24"/>
          <w:szCs w:val="24"/>
        </w:rPr>
        <w:t>z SZTNH</w:t>
      </w:r>
      <w:r w:rsidRPr="007123AC">
        <w:rPr>
          <w:rFonts w:ascii="Times New Roman" w:hAnsi="Times New Roman" w:cs="Times New Roman"/>
          <w:sz w:val="24"/>
          <w:szCs w:val="24"/>
        </w:rPr>
        <w:t xml:space="preserve"> az oltalmat a rendelkezésre álló határidőn belül nem utasítja el, vagy az elutasítást nem vonja vissza.</w:t>
      </w:r>
    </w:p>
    <w:p w:rsidR="00D61BC0" w:rsidRPr="007123AC" w:rsidRDefault="00D61BC0" w:rsidP="007123AC">
      <w:pPr>
        <w:spacing w:before="60" w:after="0" w:line="360" w:lineRule="auto"/>
        <w:rPr>
          <w:rStyle w:val="kvr"/>
          <w:rFonts w:ascii="Times New Roman" w:hAnsi="Times New Roman" w:cs="Times New Roman"/>
          <w:b w:val="0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 xml:space="preserve">A Lisszaboni Megállapodás hatályos szövegének felülvizsgálatára irányuló nemzetközi törekvések célja elsősorban az, hogy valamennyi földrajzi árujelző számára (tehát az </w:t>
      </w:r>
      <w:proofErr w:type="spellStart"/>
      <w:r w:rsidRPr="007123AC">
        <w:rPr>
          <w:rFonts w:ascii="Times New Roman" w:hAnsi="Times New Roman" w:cs="Times New Roman"/>
          <w:sz w:val="24"/>
          <w:szCs w:val="24"/>
        </w:rPr>
        <w:t>eredetmegjelöléseken</w:t>
      </w:r>
      <w:proofErr w:type="spellEnd"/>
      <w:r w:rsidRPr="007123AC">
        <w:rPr>
          <w:rFonts w:ascii="Times New Roman" w:hAnsi="Times New Roman" w:cs="Times New Roman"/>
          <w:sz w:val="24"/>
          <w:szCs w:val="24"/>
        </w:rPr>
        <w:t xml:space="preserve"> kívüli földrajzi árujelzők számára is) nyitva álló</w:t>
      </w:r>
      <w:r w:rsidR="00CD1FC1" w:rsidRPr="007123AC">
        <w:rPr>
          <w:rFonts w:ascii="Times New Roman" w:hAnsi="Times New Roman" w:cs="Times New Roman"/>
          <w:sz w:val="24"/>
          <w:szCs w:val="24"/>
        </w:rPr>
        <w:t xml:space="preserve"> olyan</w:t>
      </w:r>
      <w:r w:rsidRPr="007123AC">
        <w:rPr>
          <w:rFonts w:ascii="Times New Roman" w:hAnsi="Times New Roman" w:cs="Times New Roman"/>
          <w:sz w:val="24"/>
          <w:szCs w:val="24"/>
        </w:rPr>
        <w:t xml:space="preserve"> nemzetközi lajstromozási rendszer kerüljön kiépítésre,</w:t>
      </w:r>
      <w:r w:rsidR="00CD1FC1" w:rsidRPr="007123AC">
        <w:rPr>
          <w:rFonts w:ascii="Times New Roman" w:hAnsi="Times New Roman" w:cs="Times New Roman"/>
          <w:sz w:val="24"/>
          <w:szCs w:val="24"/>
        </w:rPr>
        <w:t xml:space="preserve"> amelyhez a jövőben </w:t>
      </w:r>
      <w:r w:rsidRPr="007123AC">
        <w:rPr>
          <w:rFonts w:ascii="Times New Roman" w:hAnsi="Times New Roman" w:cs="Times New Roman"/>
          <w:sz w:val="24"/>
          <w:szCs w:val="24"/>
        </w:rPr>
        <w:t>kormányközi szervezetek (mint pl. az Európai Unió) is csatlakozha</w:t>
      </w:r>
      <w:r w:rsidR="00CD1FC1" w:rsidRPr="007123AC">
        <w:rPr>
          <w:rFonts w:ascii="Times New Roman" w:hAnsi="Times New Roman" w:cs="Times New Roman"/>
          <w:sz w:val="24"/>
          <w:szCs w:val="24"/>
        </w:rPr>
        <w:t>tnak.</w:t>
      </w:r>
      <w:r w:rsidR="001C0E3A" w:rsidRPr="001C0E3A">
        <w:rPr>
          <w:rFonts w:ascii="Times New Roman" w:hAnsi="Times New Roman" w:cs="Times New Roman"/>
          <w:sz w:val="24"/>
          <w:szCs w:val="24"/>
        </w:rPr>
        <w:t xml:space="preserve"> </w:t>
      </w:r>
      <w:r w:rsidR="001C0E3A">
        <w:rPr>
          <w:rFonts w:ascii="Times New Roman" w:hAnsi="Times New Roman" w:cs="Times New Roman"/>
          <w:sz w:val="24"/>
          <w:szCs w:val="24"/>
        </w:rPr>
        <w:t>A felülvizsgálat emellett célként tűzte ki a határon átnyúló területeket érintő földrajzi árujelzők oltalmát biztosító rendelkezések kidolgozását is.</w:t>
      </w:r>
    </w:p>
    <w:p w:rsidR="00D61BC0" w:rsidRPr="007123AC" w:rsidRDefault="00D61BC0" w:rsidP="007123AC">
      <w:pPr>
        <w:pStyle w:val="211alcm"/>
        <w:spacing w:before="240" w:after="100" w:afterAutospacing="1" w:line="360" w:lineRule="auto"/>
        <w:ind w:firstLine="708"/>
        <w:rPr>
          <w:rStyle w:val="kvr"/>
          <w:rFonts w:ascii="Times New Roman" w:hAnsi="Times New Roman" w:cs="Times New Roman"/>
          <w:b/>
          <w:sz w:val="26"/>
          <w:szCs w:val="26"/>
        </w:rPr>
      </w:pP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3.4. A földrajzi á</w:t>
      </w:r>
      <w:r w:rsidR="007F580E" w:rsidRPr="007123AC">
        <w:rPr>
          <w:rStyle w:val="kvr"/>
          <w:rFonts w:ascii="Times New Roman" w:hAnsi="Times New Roman" w:cs="Times New Roman"/>
          <w:b/>
          <w:sz w:val="26"/>
          <w:szCs w:val="26"/>
        </w:rPr>
        <w:t xml:space="preserve">rujelzők oltalma </w:t>
      </w:r>
      <w:proofErr w:type="gramStart"/>
      <w:r w:rsidR="007F580E" w:rsidRPr="007123AC">
        <w:rPr>
          <w:rStyle w:val="kvr"/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="007F580E" w:rsidRPr="007123AC">
        <w:rPr>
          <w:rStyle w:val="kvr"/>
          <w:rFonts w:ascii="Times New Roman" w:hAnsi="Times New Roman" w:cs="Times New Roman"/>
          <w:b/>
          <w:sz w:val="26"/>
          <w:szCs w:val="26"/>
        </w:rPr>
        <w:t xml:space="preserve"> bilater</w:t>
      </w:r>
      <w:r w:rsidRPr="007123AC">
        <w:rPr>
          <w:rStyle w:val="kvr"/>
          <w:rFonts w:ascii="Times New Roman" w:hAnsi="Times New Roman" w:cs="Times New Roman"/>
          <w:b/>
          <w:sz w:val="26"/>
          <w:szCs w:val="26"/>
        </w:rPr>
        <w:t>ális megállapodásokban</w:t>
      </w:r>
    </w:p>
    <w:p w:rsidR="00D61BC0" w:rsidRPr="009718E1" w:rsidRDefault="00D61BC0" w:rsidP="007123AC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7123AC">
        <w:rPr>
          <w:rFonts w:ascii="Times New Roman" w:hAnsi="Times New Roman" w:cs="Times New Roman"/>
          <w:sz w:val="24"/>
          <w:szCs w:val="24"/>
        </w:rPr>
        <w:t>A földrajzi árujelzők oltalma a gyakorlatban nem csupán a jogosultak érdekeit szolgáló, magánjogi jogintézményként funkcionál: a megjelölés által azonosított földrajzi területnek „otthont adó” országok zöme (illetve az EU) a földrajzi árujelzőket mintegy a nemzeti</w:t>
      </w:r>
      <w:r w:rsidRPr="009718E1">
        <w:rPr>
          <w:rFonts w:ascii="Times New Roman" w:hAnsi="Times New Roman" w:cs="Times New Roman"/>
          <w:sz w:val="24"/>
          <w:szCs w:val="24"/>
        </w:rPr>
        <w:t xml:space="preserve"> vagyon részeként, „közös </w:t>
      </w:r>
      <w:proofErr w:type="spellStart"/>
      <w:r w:rsidRPr="009718E1">
        <w:rPr>
          <w:rFonts w:ascii="Times New Roman" w:hAnsi="Times New Roman" w:cs="Times New Roman"/>
          <w:sz w:val="24"/>
          <w:szCs w:val="24"/>
        </w:rPr>
        <w:t>kultúrkincsként</w:t>
      </w:r>
      <w:proofErr w:type="spellEnd"/>
      <w:r w:rsidRPr="009718E1">
        <w:rPr>
          <w:rFonts w:ascii="Times New Roman" w:hAnsi="Times New Roman" w:cs="Times New Roman"/>
          <w:sz w:val="24"/>
          <w:szCs w:val="24"/>
        </w:rPr>
        <w:t>” kezeli. Ennek jegyében jogosulatlan használatuk megakadályozását közfeladatnak tekinti, és a harmadik országokban való oltalomszerzés érdekében kész diplomáciai lépéseket is tenni, azaz a „saját” földrajzi árujelzői külföldi oltalmát – anélkül, hogy a jogosultaknak ehhez külön eljárási lépéseket kellene tenniük – kereskedelmi (vagy speciális, ennek szentelt) megállapodások útján biztosítani.</w:t>
      </w:r>
    </w:p>
    <w:p w:rsidR="00D61BC0" w:rsidRPr="009718E1" w:rsidRDefault="00D61BC0" w:rsidP="00A515A2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718E1">
        <w:rPr>
          <w:rFonts w:ascii="Times New Roman" w:hAnsi="Times New Roman" w:cs="Times New Roman"/>
          <w:sz w:val="24"/>
          <w:szCs w:val="24"/>
        </w:rPr>
        <w:t>Ennek eredményeképpen a földrajzi árujelzők nem csupán nemzeti, uniós vagy nemzetközi lajstromozással kerülhetnek oltalom alá, de olyan nemzetközi megállapodások alapján</w:t>
      </w:r>
      <w:r w:rsidRPr="0097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E1">
        <w:rPr>
          <w:rFonts w:ascii="Times New Roman" w:hAnsi="Times New Roman" w:cs="Times New Roman"/>
          <w:sz w:val="24"/>
          <w:szCs w:val="24"/>
        </w:rPr>
        <w:t>is, amelyek erről kifejezetten rendelkeznek. Ezekben az esetekben az oltalom előfeltételeit, az érintett földrajzi árujelzőket, az oltalom szintjét és terjedelmét, illetve a jogérvényesítés alapkérdéseit az egyes megállapodások rendezik.</w:t>
      </w:r>
    </w:p>
    <w:p w:rsidR="00D61BC0" w:rsidRPr="009718E1" w:rsidRDefault="00D61BC0" w:rsidP="00A515A2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718E1">
        <w:rPr>
          <w:rFonts w:ascii="Times New Roman" w:hAnsi="Times New Roman" w:cs="Times New Roman"/>
          <w:sz w:val="24"/>
          <w:szCs w:val="24"/>
        </w:rPr>
        <w:t>Tekintettel arra, hogy az EU-ban egyes termékkörök vonatkozásában a földrajzi árujelzők oltalma uniós szinten szabályozott, az EU</w:t>
      </w:r>
      <w:r w:rsidRPr="00971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8E1">
        <w:rPr>
          <w:rFonts w:ascii="Times New Roman" w:hAnsi="Times New Roman" w:cs="Times New Roman"/>
          <w:sz w:val="24"/>
          <w:szCs w:val="24"/>
        </w:rPr>
        <w:t>a külkapcsolatok szintjén is él hatásköreivel, és a harmadik országokkal kötött kereskedelmi megállapodásaiban ezen országok meghatározott földrajzi árujelzőit uniós oltalomban részesíti, amiért cserébe egyes uniós földrajzi árujelzők a partnerországban szintén oltalom alá kerülnek.</w:t>
      </w:r>
    </w:p>
    <w:p w:rsidR="007A6669" w:rsidRDefault="00D61BC0" w:rsidP="00A515A2">
      <w:pPr>
        <w:pStyle w:val="szveg"/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9718E1">
        <w:rPr>
          <w:rFonts w:ascii="Times New Roman" w:hAnsi="Times New Roman" w:cs="Times New Roman"/>
          <w:sz w:val="24"/>
          <w:szCs w:val="24"/>
        </w:rPr>
        <w:t xml:space="preserve">A földrajzi árujelzők oltalmára vonatkozó uniós szabályok a tagállamok önálló szerződéskötési mozgásterét szűkítik ugyan, de elméletileg nem kizárható, hogy az uniós tagállamok az uniós szabályozás alá nem eső – tehát nem mezőgazdasági – termékek földrajzi árujelzőit harmadik országokkal kötött kétoldalú nemzetközi megállapodásokkal helyezzék oltalom alá. </w:t>
      </w:r>
    </w:p>
    <w:p w:rsidR="005046C0" w:rsidRDefault="005046C0">
      <w:pPr>
        <w:widowControl/>
        <w:suppressAutoHyphens w:val="0"/>
        <w:autoSpaceDE/>
        <w:autoSpaceDN/>
        <w:adjustRightInd/>
        <w:spacing w:line="360" w:lineRule="auto"/>
        <w:textAlignment w:val="auto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492" w:rsidRDefault="00D61BC0" w:rsidP="005046C0">
      <w:pPr>
        <w:pStyle w:val="211alcm"/>
        <w:spacing w:after="100" w:afterAutospacing="1" w:line="276" w:lineRule="auto"/>
        <w:ind w:left="340"/>
        <w:rPr>
          <w:rFonts w:ascii="Times New Roman" w:hAnsi="Times New Roman" w:cs="Times New Roman"/>
          <w:b w:val="0"/>
          <w:sz w:val="26"/>
          <w:szCs w:val="26"/>
        </w:rPr>
      </w:pPr>
      <w:r w:rsidRPr="006E3BFB">
        <w:rPr>
          <w:rFonts w:ascii="Times New Roman" w:hAnsi="Times New Roman" w:cs="Times New Roman"/>
          <w:sz w:val="26"/>
          <w:szCs w:val="26"/>
        </w:rPr>
        <w:t>FORRÁSOK</w:t>
      </w:r>
    </w:p>
    <w:p w:rsidR="00D61BC0" w:rsidRPr="006E3BFB" w:rsidRDefault="00D61BC0" w:rsidP="0061234C">
      <w:pPr>
        <w:pStyle w:val="Listaszerbekezds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3BFB">
        <w:rPr>
          <w:rFonts w:ascii="Times New Roman" w:hAnsi="Times New Roman" w:cs="Times New Roman"/>
          <w:b/>
          <w:sz w:val="24"/>
          <w:szCs w:val="24"/>
        </w:rPr>
        <w:t>dr. Jókúti András: A földrajzi árujelzők oltalma.</w:t>
      </w:r>
      <w:r w:rsidRPr="006E3BFB">
        <w:rPr>
          <w:rFonts w:ascii="Times New Roman" w:hAnsi="Times New Roman" w:cs="Times New Roman"/>
          <w:sz w:val="24"/>
          <w:szCs w:val="24"/>
        </w:rPr>
        <w:t xml:space="preserve"> A védjegytörvény magyarázata. HVG-ORAC Lap- és Könyvkiadó Kft., Budapest 2014.</w:t>
      </w:r>
    </w:p>
    <w:p w:rsidR="00D61BC0" w:rsidRPr="006E3BFB" w:rsidRDefault="00D61BC0" w:rsidP="0061234C">
      <w:pPr>
        <w:pStyle w:val="Listaszerbekezds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E3BFB">
        <w:rPr>
          <w:rFonts w:ascii="Times New Roman" w:hAnsi="Times New Roman" w:cs="Times New Roman"/>
          <w:b/>
          <w:sz w:val="24"/>
          <w:szCs w:val="24"/>
        </w:rPr>
        <w:t xml:space="preserve">dr. Jókúti András: A földrajzi árujelzők oltalma. </w:t>
      </w:r>
      <w:r w:rsidRPr="006E3BFB">
        <w:rPr>
          <w:rFonts w:ascii="Times New Roman" w:hAnsi="Times New Roman" w:cs="Times New Roman"/>
          <w:sz w:val="24"/>
          <w:szCs w:val="24"/>
        </w:rPr>
        <w:t>Iparjogvédelem. Szellemi Tulajdon Nemzeti Hivatala, Budapest 2012.</w:t>
      </w:r>
    </w:p>
    <w:p w:rsidR="00D61BC0" w:rsidRPr="006E3BFB" w:rsidRDefault="00EB1725" w:rsidP="0061234C">
      <w:pPr>
        <w:pStyle w:val="Listaszerbekezds"/>
        <w:numPr>
          <w:ilvl w:val="0"/>
          <w:numId w:val="8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Lontai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Endre-</w:t>
      </w:r>
      <w:r w:rsidR="00D61BC0" w:rsidRPr="006E3BFB">
        <w:rPr>
          <w:rFonts w:ascii="Times New Roman" w:hAnsi="Times New Roman" w:cs="Times New Roman"/>
          <w:b/>
          <w:sz w:val="24"/>
          <w:szCs w:val="24"/>
        </w:rPr>
        <w:t xml:space="preserve">Faludi </w:t>
      </w:r>
      <w:proofErr w:type="spellStart"/>
      <w:r w:rsidR="00D61BC0" w:rsidRPr="006E3BFB">
        <w:rPr>
          <w:rFonts w:ascii="Times New Roman" w:hAnsi="Times New Roman" w:cs="Times New Roman"/>
          <w:b/>
          <w:sz w:val="24"/>
          <w:szCs w:val="24"/>
        </w:rPr>
        <w:t>Gábor-Gyertyánfy</w:t>
      </w:r>
      <w:proofErr w:type="spellEnd"/>
      <w:r w:rsidR="00D61BC0" w:rsidRPr="006E3B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1BC0" w:rsidRPr="006E3BFB">
        <w:rPr>
          <w:rFonts w:ascii="Times New Roman" w:hAnsi="Times New Roman" w:cs="Times New Roman"/>
          <w:b/>
          <w:sz w:val="24"/>
          <w:szCs w:val="24"/>
        </w:rPr>
        <w:t>Péter-Vékás</w:t>
      </w:r>
      <w:proofErr w:type="spellEnd"/>
      <w:r w:rsidR="00D61BC0" w:rsidRPr="006E3BFB">
        <w:rPr>
          <w:rFonts w:ascii="Times New Roman" w:hAnsi="Times New Roman" w:cs="Times New Roman"/>
          <w:b/>
          <w:sz w:val="24"/>
          <w:szCs w:val="24"/>
        </w:rPr>
        <w:t xml:space="preserve"> Gusztáv: Magyar Polgári jog. Szellemi Alkotások Joga.</w:t>
      </w:r>
      <w:r w:rsidR="00D61BC0" w:rsidRPr="006E3BFB">
        <w:rPr>
          <w:rFonts w:ascii="Times New Roman" w:hAnsi="Times New Roman" w:cs="Times New Roman"/>
          <w:sz w:val="24"/>
          <w:szCs w:val="24"/>
        </w:rPr>
        <w:t xml:space="preserve"> Eötvös József Könyvkiadó, Budapest 2008.</w:t>
      </w:r>
    </w:p>
    <w:p w:rsidR="00082B5C" w:rsidRPr="006E3BFB" w:rsidRDefault="00D61BC0" w:rsidP="006E3BFB">
      <w:pPr>
        <w:pStyle w:val="Listaszerbekezds"/>
        <w:numPr>
          <w:ilvl w:val="0"/>
          <w:numId w:val="8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E3BFB">
        <w:rPr>
          <w:rFonts w:ascii="Times New Roman" w:hAnsi="Times New Roman" w:cs="Times New Roman"/>
          <w:b/>
          <w:bCs/>
          <w:kern w:val="36"/>
          <w:sz w:val="24"/>
          <w:szCs w:val="24"/>
        </w:rPr>
        <w:t>Indokolás</w:t>
      </w:r>
      <w:r w:rsidRPr="006E3BFB">
        <w:rPr>
          <w:rFonts w:ascii="Times New Roman" w:hAnsi="Times New Roman" w:cs="Times New Roman"/>
          <w:bCs/>
          <w:kern w:val="36"/>
          <w:sz w:val="24"/>
          <w:szCs w:val="24"/>
        </w:rPr>
        <w:t xml:space="preserve"> a védjegyek és a földrajzi árujelzők oltalmáról szóló törvényjavaslathoz </w:t>
      </w:r>
      <w:r w:rsidRPr="006E3BFB">
        <w:rPr>
          <w:rFonts w:ascii="Times New Roman" w:hAnsi="Times New Roman" w:cs="Times New Roman"/>
          <w:bCs/>
          <w:kern w:val="36"/>
          <w:sz w:val="24"/>
          <w:szCs w:val="24"/>
        </w:rPr>
        <w:tab/>
      </w:r>
    </w:p>
    <w:p w:rsidR="00D61BC0" w:rsidRPr="006E3BFB" w:rsidRDefault="00D61BC0" w:rsidP="00A35916">
      <w:pPr>
        <w:spacing w:after="2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BFB">
        <w:rPr>
          <w:rFonts w:ascii="Times New Roman" w:hAnsi="Times New Roman" w:cs="Times New Roman"/>
          <w:b/>
          <w:sz w:val="26"/>
          <w:szCs w:val="26"/>
        </w:rPr>
        <w:t>HIVATKOZOTT JOGSZABÁLYOK</w:t>
      </w:r>
    </w:p>
    <w:p w:rsidR="00D61BC0" w:rsidRPr="007A6CB1" w:rsidRDefault="00D61BC0" w:rsidP="0061234C">
      <w:pPr>
        <w:pStyle w:val="Listaszerbekezds"/>
        <w:numPr>
          <w:ilvl w:val="0"/>
          <w:numId w:val="9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6E3BFB">
        <w:rPr>
          <w:rFonts w:ascii="Times New Roman" w:hAnsi="Times New Roman" w:cs="Times New Roman"/>
          <w:sz w:val="24"/>
          <w:szCs w:val="24"/>
        </w:rPr>
        <w:t>A v</w:t>
      </w:r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édjegyek és a földrajzi árujelzők oltalmáról szóló </w:t>
      </w:r>
      <w:r w:rsidRPr="007A6CB1">
        <w:rPr>
          <w:rFonts w:ascii="Times New Roman" w:hAnsi="Times New Roman" w:cs="Times New Roman"/>
          <w:b/>
          <w:color w:val="auto"/>
          <w:sz w:val="24"/>
          <w:szCs w:val="24"/>
        </w:rPr>
        <w:t>1997. évi XI. törvény</w:t>
      </w:r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61BC0" w:rsidRPr="007A6CB1" w:rsidRDefault="00D61BC0" w:rsidP="0061234C">
      <w:pPr>
        <w:pStyle w:val="Listaszerbekezds"/>
        <w:numPr>
          <w:ilvl w:val="0"/>
          <w:numId w:val="9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A6CB1">
        <w:rPr>
          <w:rFonts w:ascii="Times New Roman" w:hAnsi="Times New Roman" w:cs="Times New Roman"/>
          <w:color w:val="auto"/>
          <w:sz w:val="24"/>
          <w:szCs w:val="24"/>
        </w:rPr>
        <w:t>Megállapodás a szellemi tulajdon kereskedelmi vonatkozásairól [a</w:t>
      </w:r>
      <w:r w:rsidRPr="007A6C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7A6CB1">
        <w:rPr>
          <w:rFonts w:ascii="Times New Roman" w:hAnsi="Times New Roman" w:cs="Times New Roman"/>
          <w:color w:val="auto"/>
          <w:sz w:val="24"/>
          <w:szCs w:val="24"/>
        </w:rPr>
        <w:t>Marrakesh-i</w:t>
      </w:r>
      <w:proofErr w:type="spellEnd"/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 Egyezmény 1. C) melléklete] (kihirdette az </w:t>
      </w:r>
      <w:r w:rsidRPr="007A6CB1">
        <w:rPr>
          <w:rFonts w:ascii="Times New Roman" w:hAnsi="Times New Roman" w:cs="Times New Roman"/>
          <w:b/>
          <w:color w:val="auto"/>
          <w:sz w:val="24"/>
          <w:szCs w:val="24"/>
        </w:rPr>
        <w:t>1998. évi IX. törvény</w:t>
      </w:r>
      <w:r w:rsidRPr="007A6CB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61BC0" w:rsidRPr="007A6CB1" w:rsidRDefault="00D61BC0" w:rsidP="0061234C">
      <w:pPr>
        <w:pStyle w:val="Listaszerbekezds"/>
        <w:numPr>
          <w:ilvl w:val="0"/>
          <w:numId w:val="9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Az </w:t>
      </w:r>
      <w:proofErr w:type="spellStart"/>
      <w:r w:rsidRPr="007A6CB1">
        <w:rPr>
          <w:rFonts w:ascii="Times New Roman" w:hAnsi="Times New Roman" w:cs="Times New Roman"/>
          <w:color w:val="auto"/>
          <w:sz w:val="24"/>
          <w:szCs w:val="24"/>
        </w:rPr>
        <w:t>eredetmegjelölések</w:t>
      </w:r>
      <w:proofErr w:type="spellEnd"/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 oltalmára és nemzetközi lajstromozására vonatkozó Lisszaboni Megállapodás (kihirdette az </w:t>
      </w:r>
      <w:r w:rsidRPr="007A6CB1">
        <w:rPr>
          <w:rFonts w:ascii="Times New Roman" w:hAnsi="Times New Roman" w:cs="Times New Roman"/>
          <w:b/>
          <w:color w:val="auto"/>
          <w:sz w:val="24"/>
          <w:szCs w:val="24"/>
        </w:rPr>
        <w:t>1982. évi 1. törvényerejű rendelet</w:t>
      </w:r>
      <w:r w:rsidRPr="007A6CB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D61BC0" w:rsidRPr="007A6CB1" w:rsidRDefault="00D61BC0" w:rsidP="0061234C">
      <w:pPr>
        <w:pStyle w:val="Listaszerbekezds"/>
        <w:numPr>
          <w:ilvl w:val="0"/>
          <w:numId w:val="9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A6CB1">
        <w:rPr>
          <w:rFonts w:ascii="Times New Roman" w:hAnsi="Times New Roman" w:cs="Times New Roman"/>
          <w:b/>
          <w:color w:val="auto"/>
          <w:sz w:val="24"/>
          <w:szCs w:val="24"/>
        </w:rPr>
        <w:t>Az Európai Parlament és a Tanács 1151/2012/EU rendelete</w:t>
      </w:r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 a mezőgazdasági termékek és az élelmiszerek minőségrendszereiről</w:t>
      </w:r>
    </w:p>
    <w:p w:rsidR="00D61BC0" w:rsidRPr="007A6CB1" w:rsidRDefault="00D61BC0" w:rsidP="0061234C">
      <w:pPr>
        <w:pStyle w:val="Listaszerbekezds"/>
        <w:numPr>
          <w:ilvl w:val="0"/>
          <w:numId w:val="9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A6CB1">
        <w:rPr>
          <w:rFonts w:ascii="Times New Roman" w:hAnsi="Times New Roman" w:cs="Times New Roman"/>
          <w:b/>
          <w:color w:val="auto"/>
          <w:sz w:val="24"/>
          <w:szCs w:val="24"/>
        </w:rPr>
        <w:t>Az Európai Parlament és a Tanács 1308/2013/EU rendelete</w:t>
      </w:r>
      <w:r w:rsidRPr="007A6C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6CB1">
        <w:rPr>
          <w:rFonts w:ascii="Times New Roman" w:eastAsiaTheme="minorHAnsi" w:hAnsi="Times New Roman" w:cs="Times New Roman"/>
          <w:bCs/>
          <w:color w:val="auto"/>
          <w:sz w:val="24"/>
          <w:szCs w:val="24"/>
          <w:lang w:eastAsia="en-US"/>
        </w:rPr>
        <w:t>a mezőgazdasági termékpiacok közös szervezésének létrehozásáról, és a 922/72/EGK, a 234/79/EK, az 1037/2001/EK és az 1234/2007/EK tanácsi rendelet hatályon kívül helyezéséről</w:t>
      </w:r>
    </w:p>
    <w:p w:rsidR="0014505A" w:rsidRPr="007A6CB1" w:rsidRDefault="00D61BC0" w:rsidP="0061234C">
      <w:pPr>
        <w:pStyle w:val="NormlWeb"/>
        <w:numPr>
          <w:ilvl w:val="0"/>
          <w:numId w:val="9"/>
        </w:numPr>
        <w:spacing w:before="0" w:beforeAutospacing="0" w:after="120" w:afterAutospacing="0" w:line="360" w:lineRule="auto"/>
        <w:ind w:left="714" w:hanging="357"/>
      </w:pPr>
      <w:r w:rsidRPr="007A6CB1">
        <w:rPr>
          <w:b/>
        </w:rPr>
        <w:t xml:space="preserve">Az Európai Parlament és a Tanács </w:t>
      </w:r>
      <w:r w:rsidRPr="007A6CB1">
        <w:rPr>
          <w:rStyle w:val="Kiemels"/>
          <w:b/>
          <w:i w:val="0"/>
        </w:rPr>
        <w:t>110/2008/EK rendelet</w:t>
      </w:r>
      <w:r w:rsidRPr="007A6CB1">
        <w:rPr>
          <w:b/>
        </w:rPr>
        <w:t>e</w:t>
      </w:r>
      <w:r w:rsidRPr="007A6CB1">
        <w:t>  a szeszes italok meghatározásáról, megnevezéséről, kiszereléséről, címkézéséről és a földrajzi árujelzőinek oltalmáról, valamint a 1576/89/EK tanácsi rendelet hatályon kívül helyezéséről  </w:t>
      </w:r>
    </w:p>
    <w:p w:rsidR="00D61BC0" w:rsidRPr="007A6CB1" w:rsidRDefault="00D61BC0" w:rsidP="0061234C">
      <w:pPr>
        <w:pStyle w:val="NormlWeb"/>
        <w:numPr>
          <w:ilvl w:val="0"/>
          <w:numId w:val="9"/>
        </w:numPr>
        <w:spacing w:before="0" w:beforeAutospacing="0" w:after="120" w:afterAutospacing="0" w:line="360" w:lineRule="auto"/>
        <w:ind w:left="714" w:hanging="357"/>
      </w:pPr>
      <w:r w:rsidRPr="007A6CB1">
        <w:rPr>
          <w:b/>
        </w:rPr>
        <w:t xml:space="preserve">Az Európai Parlament és a Tanács </w:t>
      </w:r>
      <w:r w:rsidRPr="007A6CB1">
        <w:rPr>
          <w:rStyle w:val="Kiemels"/>
          <w:b/>
          <w:i w:val="0"/>
        </w:rPr>
        <w:t>251/2014/EU rendelet</w:t>
      </w:r>
      <w:r w:rsidRPr="007A6CB1">
        <w:rPr>
          <w:b/>
        </w:rPr>
        <w:t>e</w:t>
      </w:r>
      <w:r w:rsidRPr="007A6CB1">
        <w:t> az ízesített borászati termékek meghatározásáról, megnevezéséről, kiszereléséről, jelöléséről és földrajzi árujelzőinek oltalmáról és az 1601/91/EGK tanácsi rendelet hatályon kívül helyezéséről</w:t>
      </w:r>
    </w:p>
    <w:p w:rsidR="00A40E4C" w:rsidRPr="006E3BFB" w:rsidRDefault="00D61BC0" w:rsidP="0061234C">
      <w:pPr>
        <w:pStyle w:val="NormlWeb"/>
        <w:numPr>
          <w:ilvl w:val="0"/>
          <w:numId w:val="9"/>
        </w:numPr>
        <w:spacing w:before="0" w:beforeAutospacing="0" w:after="120" w:afterAutospacing="0" w:line="360" w:lineRule="auto"/>
        <w:ind w:left="714" w:hanging="357"/>
      </w:pPr>
      <w:r w:rsidRPr="006E3BFB">
        <w:rPr>
          <w:bCs/>
        </w:rPr>
        <w:t xml:space="preserve">A Magyar Népköztársaság és a Svájci Államszövetség között létrejött, a származási jelzések, </w:t>
      </w:r>
      <w:proofErr w:type="spellStart"/>
      <w:r w:rsidRPr="006E3BFB">
        <w:rPr>
          <w:bCs/>
        </w:rPr>
        <w:t>eredetmegjelölések</w:t>
      </w:r>
      <w:proofErr w:type="spellEnd"/>
      <w:r w:rsidRPr="006E3BFB">
        <w:rPr>
          <w:bCs/>
        </w:rPr>
        <w:t xml:space="preserve"> és egyéb földrajzi megjelölések oltalmáról szóló szerződés kihirdetéséről szóló </w:t>
      </w:r>
      <w:r w:rsidRPr="006E3BFB">
        <w:rPr>
          <w:b/>
          <w:bCs/>
        </w:rPr>
        <w:t>1981. évi 27. törvényerejű rendelet</w:t>
      </w:r>
    </w:p>
    <w:p w:rsidR="00A40E4C" w:rsidRPr="006E3BFB" w:rsidRDefault="00A40E4C" w:rsidP="0061234C">
      <w:pPr>
        <w:pStyle w:val="NormlWeb"/>
        <w:numPr>
          <w:ilvl w:val="0"/>
          <w:numId w:val="9"/>
        </w:numPr>
        <w:spacing w:after="0" w:afterAutospacing="0" w:line="360" w:lineRule="auto"/>
        <w:ind w:left="714" w:hanging="357"/>
      </w:pPr>
      <w:r w:rsidRPr="006E3BFB">
        <w:rPr>
          <w:bCs/>
        </w:rPr>
        <w:t xml:space="preserve">A Magyar Népköztársaság és a Portugál Köztársaság Kormányai között létrejött, a származási jelzések, </w:t>
      </w:r>
      <w:proofErr w:type="spellStart"/>
      <w:r w:rsidRPr="006E3BFB">
        <w:rPr>
          <w:bCs/>
        </w:rPr>
        <w:t>eredetmegjelölések</w:t>
      </w:r>
      <w:proofErr w:type="spellEnd"/>
      <w:r w:rsidRPr="006E3BFB">
        <w:rPr>
          <w:bCs/>
        </w:rPr>
        <w:t xml:space="preserve"> és egyéb földrajzi megnevezések oltalmáról szóló Megállapodás kihirdetéséről szóló </w:t>
      </w:r>
      <w:r w:rsidRPr="006E3BFB">
        <w:rPr>
          <w:b/>
        </w:rPr>
        <w:t>49/1986. (XI. 12.) MT rendelet</w:t>
      </w:r>
    </w:p>
    <w:sectPr w:rsidR="00A40E4C" w:rsidRPr="006E3BFB" w:rsidSect="00F878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3A" w:rsidRDefault="0073383A" w:rsidP="008C3F5D">
      <w:pPr>
        <w:spacing w:after="0" w:line="240" w:lineRule="auto"/>
      </w:pPr>
      <w:r>
        <w:separator/>
      </w:r>
    </w:p>
  </w:endnote>
  <w:endnote w:type="continuationSeparator" w:id="0">
    <w:p w:rsidR="0073383A" w:rsidRDefault="0073383A" w:rsidP="008C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5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C46" w:rsidRPr="008F0B48" w:rsidRDefault="00B16A14">
        <w:pPr>
          <w:pStyle w:val="llb"/>
          <w:jc w:val="center"/>
          <w:rPr>
            <w:rFonts w:ascii="Times New Roman" w:hAnsi="Times New Roman" w:cs="Times New Roman"/>
          </w:rPr>
        </w:pPr>
        <w:r w:rsidRPr="008F0B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C46" w:rsidRPr="008F0B4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F0B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831B5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8F0B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C46" w:rsidRDefault="007D2C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3A" w:rsidRDefault="0073383A" w:rsidP="008C3F5D">
      <w:pPr>
        <w:spacing w:after="0" w:line="240" w:lineRule="auto"/>
      </w:pPr>
      <w:r>
        <w:separator/>
      </w:r>
    </w:p>
  </w:footnote>
  <w:footnote w:type="continuationSeparator" w:id="0">
    <w:p w:rsidR="0073383A" w:rsidRDefault="0073383A" w:rsidP="008C3F5D">
      <w:pPr>
        <w:spacing w:after="0" w:line="240" w:lineRule="auto"/>
      </w:pPr>
      <w:r>
        <w:continuationSeparator/>
      </w:r>
    </w:p>
  </w:footnote>
  <w:footnote w:id="1">
    <w:p w:rsidR="00F35683" w:rsidRDefault="00F356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B1443">
        <w:rPr>
          <w:rFonts w:ascii="Times New Roman" w:hAnsi="Times New Roman" w:cs="Times New Roman"/>
        </w:rPr>
        <w:t>Megállapodás a szellemi tulajdon kereskedelmi vonatkozásairól [a</w:t>
      </w:r>
      <w:r w:rsidRPr="00CB1443">
        <w:rPr>
          <w:rFonts w:ascii="Times New Roman" w:hAnsi="Times New Roman" w:cs="Times New Roman"/>
          <w:b/>
        </w:rPr>
        <w:t xml:space="preserve"> </w:t>
      </w:r>
      <w:proofErr w:type="spellStart"/>
      <w:r w:rsidRPr="00CB1443">
        <w:rPr>
          <w:rFonts w:ascii="Times New Roman" w:hAnsi="Times New Roman" w:cs="Times New Roman"/>
        </w:rPr>
        <w:t>Marrakesh-i</w:t>
      </w:r>
      <w:proofErr w:type="spellEnd"/>
      <w:r w:rsidRPr="00CB1443">
        <w:rPr>
          <w:rFonts w:ascii="Times New Roman" w:hAnsi="Times New Roman" w:cs="Times New Roman"/>
        </w:rPr>
        <w:t xml:space="preserve"> Egyezmény 1. C) melléklete] (kihirdette az 1998. évi IX. törvény)</w:t>
      </w:r>
    </w:p>
  </w:footnote>
  <w:footnote w:id="2">
    <w:p w:rsidR="007D2C46" w:rsidRPr="001405ED" w:rsidRDefault="007D2C46" w:rsidP="001405ED">
      <w:pPr>
        <w:pStyle w:val="Lbjegyzetszveg"/>
        <w:spacing w:line="276" w:lineRule="auto"/>
        <w:rPr>
          <w:rFonts w:ascii="Times New Roman" w:hAnsi="Times New Roman" w:cs="Times New Roman"/>
        </w:rPr>
      </w:pPr>
      <w:r w:rsidRPr="001405ED">
        <w:rPr>
          <w:rStyle w:val="Lbjegyzet-hivatkozs"/>
          <w:rFonts w:ascii="Times New Roman" w:hAnsi="Times New Roman" w:cs="Times New Roman"/>
        </w:rPr>
        <w:footnoteRef/>
      </w:r>
      <w:r w:rsidRPr="001405ED">
        <w:rPr>
          <w:rFonts w:ascii="Times New Roman" w:hAnsi="Times New Roman" w:cs="Times New Roman"/>
        </w:rPr>
        <w:t xml:space="preserve"> Az </w:t>
      </w:r>
      <w:proofErr w:type="spellStart"/>
      <w:r w:rsidRPr="001405ED">
        <w:rPr>
          <w:rFonts w:ascii="Times New Roman" w:hAnsi="Times New Roman" w:cs="Times New Roman"/>
        </w:rPr>
        <w:t>eredetmegjelölések</w:t>
      </w:r>
      <w:proofErr w:type="spellEnd"/>
      <w:r w:rsidRPr="001405ED">
        <w:rPr>
          <w:rFonts w:ascii="Times New Roman" w:hAnsi="Times New Roman" w:cs="Times New Roman"/>
        </w:rPr>
        <w:t xml:space="preserve"> oltalmára és nemzetközi lajstromozására vonatkozó Lisszaboni Megállapodás (kihirdette az 1982. évi 1. törvényerejű rendelet)</w:t>
      </w:r>
    </w:p>
  </w:footnote>
  <w:footnote w:id="3">
    <w:p w:rsidR="00537EE3" w:rsidRPr="009F2939" w:rsidRDefault="00537EE3">
      <w:pPr>
        <w:pStyle w:val="Lbjegyzetszveg"/>
        <w:rPr>
          <w:rFonts w:ascii="Times New Roman" w:hAnsi="Times New Roman" w:cs="Times New Roman"/>
        </w:rPr>
      </w:pPr>
      <w:r w:rsidRPr="009F2939">
        <w:rPr>
          <w:rStyle w:val="Lbjegyzet-hivatkozs"/>
          <w:rFonts w:ascii="Times New Roman" w:hAnsi="Times New Roman" w:cs="Times New Roman"/>
        </w:rPr>
        <w:footnoteRef/>
      </w:r>
      <w:r w:rsidR="009F2939" w:rsidRPr="009F2939">
        <w:rPr>
          <w:rFonts w:ascii="Times New Roman" w:hAnsi="Times New Roman" w:cs="Times New Roman"/>
        </w:rPr>
        <w:t xml:space="preserve"> Vt. </w:t>
      </w:r>
      <w:r w:rsidRPr="009F2939">
        <w:rPr>
          <w:rFonts w:ascii="Times New Roman" w:hAnsi="Times New Roman" w:cs="Times New Roman"/>
        </w:rPr>
        <w:t>116/</w:t>
      </w:r>
      <w:proofErr w:type="gramStart"/>
      <w:r w:rsidRPr="009F2939">
        <w:rPr>
          <w:rFonts w:ascii="Times New Roman" w:hAnsi="Times New Roman" w:cs="Times New Roman"/>
        </w:rPr>
        <w:t>A</w:t>
      </w:r>
      <w:proofErr w:type="gramEnd"/>
      <w:r w:rsidRPr="009F2939">
        <w:rPr>
          <w:rFonts w:ascii="Times New Roman" w:hAnsi="Times New Roman" w:cs="Times New Roman"/>
        </w:rPr>
        <w:t>. § (7)-(8)</w:t>
      </w:r>
      <w:r w:rsidR="00305049">
        <w:rPr>
          <w:rFonts w:ascii="Times New Roman" w:hAnsi="Times New Roman" w:cs="Times New Roman"/>
        </w:rPr>
        <w:t xml:space="preserve"> bekezdés</w:t>
      </w:r>
    </w:p>
  </w:footnote>
  <w:footnote w:id="4">
    <w:p w:rsidR="007D2C46" w:rsidRPr="00DB0EE7" w:rsidRDefault="007D2C46" w:rsidP="00835B14">
      <w:pPr>
        <w:pStyle w:val="Lbjegyzetszveg"/>
        <w:spacing w:line="276" w:lineRule="auto"/>
        <w:rPr>
          <w:rFonts w:ascii="Times New Roman" w:hAnsi="Times New Roman" w:cs="Times New Roman"/>
        </w:rPr>
      </w:pPr>
      <w:r w:rsidRPr="00814555">
        <w:rPr>
          <w:rStyle w:val="Lbjegyzet-hivatkozs"/>
          <w:rFonts w:ascii="Times New Roman" w:hAnsi="Times New Roman" w:cs="Times New Roman"/>
        </w:rPr>
        <w:footnoteRef/>
      </w:r>
      <w:r w:rsidRPr="00814555">
        <w:rPr>
          <w:rFonts w:ascii="Times New Roman" w:hAnsi="Times New Roman" w:cs="Times New Roman"/>
        </w:rPr>
        <w:t xml:space="preserve"> Előbbire példa</w:t>
      </w:r>
      <w:r w:rsidR="00CD4540">
        <w:rPr>
          <w:rFonts w:ascii="Times New Roman" w:hAnsi="Times New Roman" w:cs="Times New Roman"/>
        </w:rPr>
        <w:t xml:space="preserve"> a</w:t>
      </w:r>
      <w:r w:rsidR="003A43AD">
        <w:rPr>
          <w:rFonts w:ascii="Times New Roman" w:hAnsi="Times New Roman" w:cs="Times New Roman"/>
        </w:rPr>
        <w:t xml:space="preserve"> </w:t>
      </w:r>
      <w:r w:rsidR="009C2828">
        <w:rPr>
          <w:rFonts w:ascii="Times New Roman" w:hAnsi="Times New Roman" w:cs="Times New Roman"/>
        </w:rPr>
        <w:t>már</w:t>
      </w:r>
      <w:r w:rsidR="00CD4540">
        <w:rPr>
          <w:rFonts w:ascii="Times New Roman" w:hAnsi="Times New Roman" w:cs="Times New Roman"/>
        </w:rPr>
        <w:t xml:space="preserve"> hivatkozott </w:t>
      </w:r>
      <w:proofErr w:type="spellStart"/>
      <w:r w:rsidR="00CD4540">
        <w:rPr>
          <w:rFonts w:ascii="Times New Roman" w:hAnsi="Times New Roman" w:cs="Times New Roman"/>
        </w:rPr>
        <w:t>TRIPS-megállapodás</w:t>
      </w:r>
      <w:proofErr w:type="spellEnd"/>
      <w:r w:rsidR="00CD4540">
        <w:rPr>
          <w:rFonts w:ascii="Times New Roman" w:hAnsi="Times New Roman" w:cs="Times New Roman"/>
        </w:rPr>
        <w:t>, illetőleg</w:t>
      </w:r>
      <w:r w:rsidRPr="00814555">
        <w:rPr>
          <w:rFonts w:ascii="Times New Roman" w:hAnsi="Times New Roman" w:cs="Times New Roman"/>
        </w:rPr>
        <w:t xml:space="preserve"> az </w:t>
      </w:r>
      <w:proofErr w:type="spellStart"/>
      <w:r w:rsidRPr="00814555">
        <w:rPr>
          <w:rFonts w:ascii="Times New Roman" w:hAnsi="Times New Roman" w:cs="Times New Roman"/>
        </w:rPr>
        <w:t>eredetmegjelölések</w:t>
      </w:r>
      <w:proofErr w:type="spellEnd"/>
      <w:r w:rsidRPr="00814555">
        <w:rPr>
          <w:rFonts w:ascii="Times New Roman" w:hAnsi="Times New Roman" w:cs="Times New Roman"/>
        </w:rPr>
        <w:t xml:space="preserve"> nemzetközi lajstromozásának lehetőségét megteremtő Lisszaboni Megállapodás, a viszonosság fennállására nézve pedig a</w:t>
      </w:r>
      <w:r w:rsidR="00FD31E6">
        <w:rPr>
          <w:rFonts w:ascii="Times New Roman" w:hAnsi="Times New Roman" w:cs="Times New Roman"/>
        </w:rPr>
        <w:t>z SZTNH</w:t>
      </w:r>
      <w:r w:rsidRPr="00814555">
        <w:rPr>
          <w:rFonts w:ascii="Times New Roman" w:hAnsi="Times New Roman" w:cs="Times New Roman"/>
        </w:rPr>
        <w:t xml:space="preserve"> elnökének állásfoglalása az irányadó.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CFD"/>
    <w:multiLevelType w:val="hybridMultilevel"/>
    <w:tmpl w:val="39F27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5028C"/>
    <w:multiLevelType w:val="multilevel"/>
    <w:tmpl w:val="AAB44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D492E4E"/>
    <w:multiLevelType w:val="hybridMultilevel"/>
    <w:tmpl w:val="6CF0D19E"/>
    <w:lvl w:ilvl="0" w:tplc="42FA00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34E"/>
    <w:multiLevelType w:val="hybridMultilevel"/>
    <w:tmpl w:val="A76A07A8"/>
    <w:lvl w:ilvl="0" w:tplc="87646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78EF"/>
    <w:multiLevelType w:val="multilevel"/>
    <w:tmpl w:val="86725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B6151DD"/>
    <w:multiLevelType w:val="hybridMultilevel"/>
    <w:tmpl w:val="9B20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38B2"/>
    <w:multiLevelType w:val="hybridMultilevel"/>
    <w:tmpl w:val="2ED0685A"/>
    <w:lvl w:ilvl="0" w:tplc="9C98E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6C57"/>
    <w:multiLevelType w:val="hybridMultilevel"/>
    <w:tmpl w:val="6CF0D19E"/>
    <w:lvl w:ilvl="0" w:tplc="42FA00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21DDE"/>
    <w:multiLevelType w:val="multilevel"/>
    <w:tmpl w:val="91B0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54"/>
    <w:rsid w:val="0000256D"/>
    <w:rsid w:val="00003F7F"/>
    <w:rsid w:val="000050BA"/>
    <w:rsid w:val="00005B6D"/>
    <w:rsid w:val="00007360"/>
    <w:rsid w:val="0001330E"/>
    <w:rsid w:val="00014BA3"/>
    <w:rsid w:val="00014DC3"/>
    <w:rsid w:val="00015ACC"/>
    <w:rsid w:val="000171CA"/>
    <w:rsid w:val="00020216"/>
    <w:rsid w:val="0002231E"/>
    <w:rsid w:val="000233B4"/>
    <w:rsid w:val="00023C53"/>
    <w:rsid w:val="00026B87"/>
    <w:rsid w:val="000279DF"/>
    <w:rsid w:val="000304E6"/>
    <w:rsid w:val="000314D9"/>
    <w:rsid w:val="00034D66"/>
    <w:rsid w:val="00037230"/>
    <w:rsid w:val="00041987"/>
    <w:rsid w:val="0005005D"/>
    <w:rsid w:val="00052E44"/>
    <w:rsid w:val="00061C0B"/>
    <w:rsid w:val="000629F8"/>
    <w:rsid w:val="0006391F"/>
    <w:rsid w:val="000671CC"/>
    <w:rsid w:val="00074181"/>
    <w:rsid w:val="00074CC3"/>
    <w:rsid w:val="00074E90"/>
    <w:rsid w:val="000750C1"/>
    <w:rsid w:val="00077722"/>
    <w:rsid w:val="00082225"/>
    <w:rsid w:val="00082B5C"/>
    <w:rsid w:val="000837CF"/>
    <w:rsid w:val="00090820"/>
    <w:rsid w:val="000913C8"/>
    <w:rsid w:val="00093844"/>
    <w:rsid w:val="000954B0"/>
    <w:rsid w:val="0009628F"/>
    <w:rsid w:val="000A1206"/>
    <w:rsid w:val="000A5A3C"/>
    <w:rsid w:val="000A642B"/>
    <w:rsid w:val="000B0FCA"/>
    <w:rsid w:val="000B27EA"/>
    <w:rsid w:val="000B331C"/>
    <w:rsid w:val="000B34FA"/>
    <w:rsid w:val="000B3E2E"/>
    <w:rsid w:val="000B3F84"/>
    <w:rsid w:val="000B66CF"/>
    <w:rsid w:val="000B6F47"/>
    <w:rsid w:val="000B794E"/>
    <w:rsid w:val="000B7E78"/>
    <w:rsid w:val="000C0E4A"/>
    <w:rsid w:val="000C1BAA"/>
    <w:rsid w:val="000C361E"/>
    <w:rsid w:val="000C3A54"/>
    <w:rsid w:val="000C49C4"/>
    <w:rsid w:val="000C61F3"/>
    <w:rsid w:val="000C6800"/>
    <w:rsid w:val="000C6F28"/>
    <w:rsid w:val="000D0120"/>
    <w:rsid w:val="000D0538"/>
    <w:rsid w:val="000D5059"/>
    <w:rsid w:val="000D7CB8"/>
    <w:rsid w:val="000E0816"/>
    <w:rsid w:val="000E1919"/>
    <w:rsid w:val="000E2D07"/>
    <w:rsid w:val="000E2DC8"/>
    <w:rsid w:val="000E789D"/>
    <w:rsid w:val="000F007E"/>
    <w:rsid w:val="000F144C"/>
    <w:rsid w:val="000F30D9"/>
    <w:rsid w:val="000F5329"/>
    <w:rsid w:val="000F68D3"/>
    <w:rsid w:val="00103879"/>
    <w:rsid w:val="00106186"/>
    <w:rsid w:val="00112A40"/>
    <w:rsid w:val="00114248"/>
    <w:rsid w:val="00114FDC"/>
    <w:rsid w:val="00117735"/>
    <w:rsid w:val="001179BE"/>
    <w:rsid w:val="0012065C"/>
    <w:rsid w:val="0012506B"/>
    <w:rsid w:val="0012529E"/>
    <w:rsid w:val="00126C01"/>
    <w:rsid w:val="00126E43"/>
    <w:rsid w:val="001279AF"/>
    <w:rsid w:val="00127E39"/>
    <w:rsid w:val="001307F8"/>
    <w:rsid w:val="001318DC"/>
    <w:rsid w:val="001324EA"/>
    <w:rsid w:val="00133AEC"/>
    <w:rsid w:val="001405ED"/>
    <w:rsid w:val="00140901"/>
    <w:rsid w:val="00142D05"/>
    <w:rsid w:val="0014505A"/>
    <w:rsid w:val="0014782F"/>
    <w:rsid w:val="001512B5"/>
    <w:rsid w:val="00152B39"/>
    <w:rsid w:val="00152EDA"/>
    <w:rsid w:val="00154711"/>
    <w:rsid w:val="00154ACE"/>
    <w:rsid w:val="00155533"/>
    <w:rsid w:val="00157BCF"/>
    <w:rsid w:val="00164619"/>
    <w:rsid w:val="0017730A"/>
    <w:rsid w:val="00177CEA"/>
    <w:rsid w:val="00177EE0"/>
    <w:rsid w:val="00181332"/>
    <w:rsid w:val="00182223"/>
    <w:rsid w:val="00183A96"/>
    <w:rsid w:val="00184803"/>
    <w:rsid w:val="001915FF"/>
    <w:rsid w:val="00192864"/>
    <w:rsid w:val="00193F19"/>
    <w:rsid w:val="00194BC5"/>
    <w:rsid w:val="001A27AC"/>
    <w:rsid w:val="001A4F2C"/>
    <w:rsid w:val="001A53DE"/>
    <w:rsid w:val="001A5E74"/>
    <w:rsid w:val="001A6086"/>
    <w:rsid w:val="001A7999"/>
    <w:rsid w:val="001A7CF7"/>
    <w:rsid w:val="001B14CE"/>
    <w:rsid w:val="001B1694"/>
    <w:rsid w:val="001B3D48"/>
    <w:rsid w:val="001B4419"/>
    <w:rsid w:val="001B463B"/>
    <w:rsid w:val="001B6495"/>
    <w:rsid w:val="001B72F8"/>
    <w:rsid w:val="001C0E3A"/>
    <w:rsid w:val="001C12A6"/>
    <w:rsid w:val="001C5513"/>
    <w:rsid w:val="001C6105"/>
    <w:rsid w:val="001C7671"/>
    <w:rsid w:val="001D0DC2"/>
    <w:rsid w:val="001D304A"/>
    <w:rsid w:val="001D4A23"/>
    <w:rsid w:val="001E53AF"/>
    <w:rsid w:val="001E7F54"/>
    <w:rsid w:val="001F4149"/>
    <w:rsid w:val="001F7FAB"/>
    <w:rsid w:val="00201DA8"/>
    <w:rsid w:val="00202BA3"/>
    <w:rsid w:val="00205530"/>
    <w:rsid w:val="00211EE3"/>
    <w:rsid w:val="00214FF6"/>
    <w:rsid w:val="00216B85"/>
    <w:rsid w:val="00217103"/>
    <w:rsid w:val="00217F34"/>
    <w:rsid w:val="00222CEB"/>
    <w:rsid w:val="00223974"/>
    <w:rsid w:val="00223EAD"/>
    <w:rsid w:val="00237E2C"/>
    <w:rsid w:val="002402FA"/>
    <w:rsid w:val="00241AC8"/>
    <w:rsid w:val="00241F42"/>
    <w:rsid w:val="0024234E"/>
    <w:rsid w:val="00242B85"/>
    <w:rsid w:val="00242D8A"/>
    <w:rsid w:val="0024404E"/>
    <w:rsid w:val="002444C2"/>
    <w:rsid w:val="00244DC1"/>
    <w:rsid w:val="0024735B"/>
    <w:rsid w:val="00250497"/>
    <w:rsid w:val="0025111C"/>
    <w:rsid w:val="00254D56"/>
    <w:rsid w:val="00254D75"/>
    <w:rsid w:val="002568C0"/>
    <w:rsid w:val="00260645"/>
    <w:rsid w:val="00261B10"/>
    <w:rsid w:val="00263263"/>
    <w:rsid w:val="00265F59"/>
    <w:rsid w:val="00266E12"/>
    <w:rsid w:val="0026743D"/>
    <w:rsid w:val="00267911"/>
    <w:rsid w:val="002706C4"/>
    <w:rsid w:val="00270A1B"/>
    <w:rsid w:val="00276756"/>
    <w:rsid w:val="002804ED"/>
    <w:rsid w:val="00280C6C"/>
    <w:rsid w:val="00281AD1"/>
    <w:rsid w:val="00282D93"/>
    <w:rsid w:val="00287316"/>
    <w:rsid w:val="002873CA"/>
    <w:rsid w:val="0028771B"/>
    <w:rsid w:val="00295E35"/>
    <w:rsid w:val="002978E8"/>
    <w:rsid w:val="002A07A2"/>
    <w:rsid w:val="002A16C4"/>
    <w:rsid w:val="002B1875"/>
    <w:rsid w:val="002B26A4"/>
    <w:rsid w:val="002B3067"/>
    <w:rsid w:val="002B5278"/>
    <w:rsid w:val="002C0070"/>
    <w:rsid w:val="002C0721"/>
    <w:rsid w:val="002C0CB8"/>
    <w:rsid w:val="002C1644"/>
    <w:rsid w:val="002C3EE8"/>
    <w:rsid w:val="002C40E0"/>
    <w:rsid w:val="002C46A9"/>
    <w:rsid w:val="002C53C3"/>
    <w:rsid w:val="002C5E0E"/>
    <w:rsid w:val="002C6A1F"/>
    <w:rsid w:val="002D2A78"/>
    <w:rsid w:val="002D6376"/>
    <w:rsid w:val="002E0D8C"/>
    <w:rsid w:val="002E3012"/>
    <w:rsid w:val="002E414C"/>
    <w:rsid w:val="002E4C6E"/>
    <w:rsid w:val="002E5718"/>
    <w:rsid w:val="002E587C"/>
    <w:rsid w:val="002E5E5A"/>
    <w:rsid w:val="002F68AB"/>
    <w:rsid w:val="00300FEE"/>
    <w:rsid w:val="0030145D"/>
    <w:rsid w:val="00303220"/>
    <w:rsid w:val="00305049"/>
    <w:rsid w:val="00310B2F"/>
    <w:rsid w:val="00311664"/>
    <w:rsid w:val="00311E6E"/>
    <w:rsid w:val="00314D24"/>
    <w:rsid w:val="00316781"/>
    <w:rsid w:val="00316B48"/>
    <w:rsid w:val="00321D95"/>
    <w:rsid w:val="003223B1"/>
    <w:rsid w:val="00324981"/>
    <w:rsid w:val="00325BD3"/>
    <w:rsid w:val="00332EBC"/>
    <w:rsid w:val="00333907"/>
    <w:rsid w:val="00333BDE"/>
    <w:rsid w:val="00336063"/>
    <w:rsid w:val="003364B8"/>
    <w:rsid w:val="00340789"/>
    <w:rsid w:val="0034356D"/>
    <w:rsid w:val="00345DB7"/>
    <w:rsid w:val="003467B2"/>
    <w:rsid w:val="00355133"/>
    <w:rsid w:val="00360D4B"/>
    <w:rsid w:val="00362055"/>
    <w:rsid w:val="003625B1"/>
    <w:rsid w:val="00364709"/>
    <w:rsid w:val="003712FE"/>
    <w:rsid w:val="0037435B"/>
    <w:rsid w:val="003765C9"/>
    <w:rsid w:val="00382864"/>
    <w:rsid w:val="0038540E"/>
    <w:rsid w:val="0038555E"/>
    <w:rsid w:val="003858C4"/>
    <w:rsid w:val="0038703E"/>
    <w:rsid w:val="00390A3E"/>
    <w:rsid w:val="00391B29"/>
    <w:rsid w:val="0039456E"/>
    <w:rsid w:val="003964BA"/>
    <w:rsid w:val="003A2216"/>
    <w:rsid w:val="003A22BC"/>
    <w:rsid w:val="003A3F90"/>
    <w:rsid w:val="003A43AD"/>
    <w:rsid w:val="003B00BD"/>
    <w:rsid w:val="003B3B85"/>
    <w:rsid w:val="003B4FFA"/>
    <w:rsid w:val="003B60FF"/>
    <w:rsid w:val="003B79EB"/>
    <w:rsid w:val="003C0151"/>
    <w:rsid w:val="003C118E"/>
    <w:rsid w:val="003C1AF2"/>
    <w:rsid w:val="003C34A5"/>
    <w:rsid w:val="003C3CE7"/>
    <w:rsid w:val="003D1060"/>
    <w:rsid w:val="003D170C"/>
    <w:rsid w:val="003D3034"/>
    <w:rsid w:val="003E1F7D"/>
    <w:rsid w:val="003E2E0F"/>
    <w:rsid w:val="003E3C04"/>
    <w:rsid w:val="003F4BD9"/>
    <w:rsid w:val="003F67F9"/>
    <w:rsid w:val="00401536"/>
    <w:rsid w:val="00403269"/>
    <w:rsid w:val="00406775"/>
    <w:rsid w:val="0040735E"/>
    <w:rsid w:val="004115B3"/>
    <w:rsid w:val="00411A52"/>
    <w:rsid w:val="00414107"/>
    <w:rsid w:val="004165A4"/>
    <w:rsid w:val="00423FFA"/>
    <w:rsid w:val="00425B88"/>
    <w:rsid w:val="00437AB1"/>
    <w:rsid w:val="00440927"/>
    <w:rsid w:val="00440BFD"/>
    <w:rsid w:val="00443F3F"/>
    <w:rsid w:val="00444948"/>
    <w:rsid w:val="00445927"/>
    <w:rsid w:val="00452E09"/>
    <w:rsid w:val="00456112"/>
    <w:rsid w:val="00457BD8"/>
    <w:rsid w:val="004628E2"/>
    <w:rsid w:val="004643CE"/>
    <w:rsid w:val="0046485E"/>
    <w:rsid w:val="004652D9"/>
    <w:rsid w:val="004657F7"/>
    <w:rsid w:val="00465913"/>
    <w:rsid w:val="0046639C"/>
    <w:rsid w:val="00467A3A"/>
    <w:rsid w:val="004710C8"/>
    <w:rsid w:val="00473B51"/>
    <w:rsid w:val="00474093"/>
    <w:rsid w:val="00474EEE"/>
    <w:rsid w:val="00475870"/>
    <w:rsid w:val="0048044A"/>
    <w:rsid w:val="00481E79"/>
    <w:rsid w:val="00483B39"/>
    <w:rsid w:val="0048652A"/>
    <w:rsid w:val="00487B6F"/>
    <w:rsid w:val="00490029"/>
    <w:rsid w:val="00491BEA"/>
    <w:rsid w:val="004A13B5"/>
    <w:rsid w:val="004A1E20"/>
    <w:rsid w:val="004B14CD"/>
    <w:rsid w:val="004B2A9D"/>
    <w:rsid w:val="004B3593"/>
    <w:rsid w:val="004B4B0F"/>
    <w:rsid w:val="004C0166"/>
    <w:rsid w:val="004C0F46"/>
    <w:rsid w:val="004C470F"/>
    <w:rsid w:val="004C604E"/>
    <w:rsid w:val="004C6F23"/>
    <w:rsid w:val="004C7275"/>
    <w:rsid w:val="004D0A8E"/>
    <w:rsid w:val="004D3768"/>
    <w:rsid w:val="004D54D1"/>
    <w:rsid w:val="004E01AB"/>
    <w:rsid w:val="004E3909"/>
    <w:rsid w:val="004E687A"/>
    <w:rsid w:val="004E6ECF"/>
    <w:rsid w:val="004E7F71"/>
    <w:rsid w:val="004F1B18"/>
    <w:rsid w:val="004F1C49"/>
    <w:rsid w:val="004F229A"/>
    <w:rsid w:val="004F2543"/>
    <w:rsid w:val="004F2D7E"/>
    <w:rsid w:val="004F4315"/>
    <w:rsid w:val="004F6A12"/>
    <w:rsid w:val="00501840"/>
    <w:rsid w:val="00503CED"/>
    <w:rsid w:val="005046C0"/>
    <w:rsid w:val="005054F3"/>
    <w:rsid w:val="00506DD1"/>
    <w:rsid w:val="00512865"/>
    <w:rsid w:val="005159E4"/>
    <w:rsid w:val="00525AD3"/>
    <w:rsid w:val="00526E6E"/>
    <w:rsid w:val="00530C44"/>
    <w:rsid w:val="00532C45"/>
    <w:rsid w:val="00534463"/>
    <w:rsid w:val="00537677"/>
    <w:rsid w:val="00537EE3"/>
    <w:rsid w:val="005400F5"/>
    <w:rsid w:val="00542042"/>
    <w:rsid w:val="005449D0"/>
    <w:rsid w:val="00545CC1"/>
    <w:rsid w:val="00551211"/>
    <w:rsid w:val="0055421C"/>
    <w:rsid w:val="00562348"/>
    <w:rsid w:val="00570FC9"/>
    <w:rsid w:val="0057132A"/>
    <w:rsid w:val="0057203E"/>
    <w:rsid w:val="00573474"/>
    <w:rsid w:val="00573EBC"/>
    <w:rsid w:val="00575E90"/>
    <w:rsid w:val="00576D51"/>
    <w:rsid w:val="00577ECA"/>
    <w:rsid w:val="005814CE"/>
    <w:rsid w:val="00581B1A"/>
    <w:rsid w:val="00582CE6"/>
    <w:rsid w:val="005847DF"/>
    <w:rsid w:val="00590199"/>
    <w:rsid w:val="00590CE0"/>
    <w:rsid w:val="005912EE"/>
    <w:rsid w:val="00593168"/>
    <w:rsid w:val="005A128D"/>
    <w:rsid w:val="005A2CBF"/>
    <w:rsid w:val="005A3525"/>
    <w:rsid w:val="005B47AB"/>
    <w:rsid w:val="005C0F69"/>
    <w:rsid w:val="005C30B2"/>
    <w:rsid w:val="005D1181"/>
    <w:rsid w:val="005D1C77"/>
    <w:rsid w:val="005E0F07"/>
    <w:rsid w:val="005E1BC9"/>
    <w:rsid w:val="005E27B8"/>
    <w:rsid w:val="005E2C59"/>
    <w:rsid w:val="005E399A"/>
    <w:rsid w:val="005E3CC8"/>
    <w:rsid w:val="005F2AFE"/>
    <w:rsid w:val="005F6C00"/>
    <w:rsid w:val="006050AD"/>
    <w:rsid w:val="00610D7A"/>
    <w:rsid w:val="0061234C"/>
    <w:rsid w:val="006125A8"/>
    <w:rsid w:val="0061774A"/>
    <w:rsid w:val="00620CDF"/>
    <w:rsid w:val="006252A5"/>
    <w:rsid w:val="00626613"/>
    <w:rsid w:val="00631B27"/>
    <w:rsid w:val="0063682E"/>
    <w:rsid w:val="00636D1D"/>
    <w:rsid w:val="00640FB0"/>
    <w:rsid w:val="00645ADF"/>
    <w:rsid w:val="0064717C"/>
    <w:rsid w:val="00655665"/>
    <w:rsid w:val="006558B4"/>
    <w:rsid w:val="00657EB9"/>
    <w:rsid w:val="00660D9C"/>
    <w:rsid w:val="00666765"/>
    <w:rsid w:val="00670019"/>
    <w:rsid w:val="006705CB"/>
    <w:rsid w:val="00677A59"/>
    <w:rsid w:val="00680D92"/>
    <w:rsid w:val="0068571C"/>
    <w:rsid w:val="00686F56"/>
    <w:rsid w:val="0068703E"/>
    <w:rsid w:val="006911AC"/>
    <w:rsid w:val="006936CA"/>
    <w:rsid w:val="0069588D"/>
    <w:rsid w:val="006A006C"/>
    <w:rsid w:val="006A0631"/>
    <w:rsid w:val="006A6200"/>
    <w:rsid w:val="006A6729"/>
    <w:rsid w:val="006A6BF0"/>
    <w:rsid w:val="006B1FF2"/>
    <w:rsid w:val="006B332B"/>
    <w:rsid w:val="006B3444"/>
    <w:rsid w:val="006B72D9"/>
    <w:rsid w:val="006C1C6F"/>
    <w:rsid w:val="006C2CBE"/>
    <w:rsid w:val="006C4BA8"/>
    <w:rsid w:val="006D0827"/>
    <w:rsid w:val="006D2E56"/>
    <w:rsid w:val="006D6C5E"/>
    <w:rsid w:val="006E0869"/>
    <w:rsid w:val="006E2BAF"/>
    <w:rsid w:val="006E3BFB"/>
    <w:rsid w:val="006E4AA2"/>
    <w:rsid w:val="006E4D6B"/>
    <w:rsid w:val="006E6898"/>
    <w:rsid w:val="006F27F3"/>
    <w:rsid w:val="006F6AE5"/>
    <w:rsid w:val="00702239"/>
    <w:rsid w:val="00704EB5"/>
    <w:rsid w:val="007123AC"/>
    <w:rsid w:val="00714095"/>
    <w:rsid w:val="00717269"/>
    <w:rsid w:val="007209D3"/>
    <w:rsid w:val="00722821"/>
    <w:rsid w:val="00723227"/>
    <w:rsid w:val="0072334C"/>
    <w:rsid w:val="00731B2C"/>
    <w:rsid w:val="007321E0"/>
    <w:rsid w:val="0073383A"/>
    <w:rsid w:val="00735FE7"/>
    <w:rsid w:val="007364D1"/>
    <w:rsid w:val="00737F1E"/>
    <w:rsid w:val="007412D4"/>
    <w:rsid w:val="00741E2E"/>
    <w:rsid w:val="0074399D"/>
    <w:rsid w:val="00743E04"/>
    <w:rsid w:val="007440B9"/>
    <w:rsid w:val="00744B87"/>
    <w:rsid w:val="007457DA"/>
    <w:rsid w:val="007467D5"/>
    <w:rsid w:val="00750D26"/>
    <w:rsid w:val="00750E67"/>
    <w:rsid w:val="00752451"/>
    <w:rsid w:val="007527A3"/>
    <w:rsid w:val="00755A78"/>
    <w:rsid w:val="00756D24"/>
    <w:rsid w:val="00762717"/>
    <w:rsid w:val="007632D0"/>
    <w:rsid w:val="0076534C"/>
    <w:rsid w:val="007655F5"/>
    <w:rsid w:val="00765C0D"/>
    <w:rsid w:val="007670A7"/>
    <w:rsid w:val="00770B4E"/>
    <w:rsid w:val="00776034"/>
    <w:rsid w:val="0077789D"/>
    <w:rsid w:val="0078106C"/>
    <w:rsid w:val="0078125C"/>
    <w:rsid w:val="00783D5B"/>
    <w:rsid w:val="007852FD"/>
    <w:rsid w:val="00785586"/>
    <w:rsid w:val="00786055"/>
    <w:rsid w:val="00787E3E"/>
    <w:rsid w:val="0079006B"/>
    <w:rsid w:val="00791D0F"/>
    <w:rsid w:val="00791F64"/>
    <w:rsid w:val="00793E2E"/>
    <w:rsid w:val="007950B1"/>
    <w:rsid w:val="007A0758"/>
    <w:rsid w:val="007A1C7E"/>
    <w:rsid w:val="007A23D7"/>
    <w:rsid w:val="007A26EC"/>
    <w:rsid w:val="007A3FFE"/>
    <w:rsid w:val="007A465A"/>
    <w:rsid w:val="007A48B9"/>
    <w:rsid w:val="007A5848"/>
    <w:rsid w:val="007A6660"/>
    <w:rsid w:val="007A6669"/>
    <w:rsid w:val="007A6CB1"/>
    <w:rsid w:val="007B5F64"/>
    <w:rsid w:val="007B685C"/>
    <w:rsid w:val="007C0145"/>
    <w:rsid w:val="007C22C5"/>
    <w:rsid w:val="007C277E"/>
    <w:rsid w:val="007D268A"/>
    <w:rsid w:val="007D2C46"/>
    <w:rsid w:val="007E24A4"/>
    <w:rsid w:val="007F0206"/>
    <w:rsid w:val="007F0DEA"/>
    <w:rsid w:val="007F580E"/>
    <w:rsid w:val="007F70D1"/>
    <w:rsid w:val="007F7AAB"/>
    <w:rsid w:val="00801A1E"/>
    <w:rsid w:val="008036E7"/>
    <w:rsid w:val="00804634"/>
    <w:rsid w:val="0080565B"/>
    <w:rsid w:val="00807C20"/>
    <w:rsid w:val="008103A7"/>
    <w:rsid w:val="0081205C"/>
    <w:rsid w:val="00812224"/>
    <w:rsid w:val="008127B6"/>
    <w:rsid w:val="00814555"/>
    <w:rsid w:val="00815EAA"/>
    <w:rsid w:val="008221EE"/>
    <w:rsid w:val="00824725"/>
    <w:rsid w:val="008278AE"/>
    <w:rsid w:val="008279A2"/>
    <w:rsid w:val="00830496"/>
    <w:rsid w:val="00830720"/>
    <w:rsid w:val="00830765"/>
    <w:rsid w:val="008311B5"/>
    <w:rsid w:val="00831D32"/>
    <w:rsid w:val="008341B5"/>
    <w:rsid w:val="00835B14"/>
    <w:rsid w:val="008362D8"/>
    <w:rsid w:val="00843338"/>
    <w:rsid w:val="00843902"/>
    <w:rsid w:val="00844513"/>
    <w:rsid w:val="008476E5"/>
    <w:rsid w:val="00850892"/>
    <w:rsid w:val="00853045"/>
    <w:rsid w:val="00854004"/>
    <w:rsid w:val="00861150"/>
    <w:rsid w:val="008619BC"/>
    <w:rsid w:val="008625FC"/>
    <w:rsid w:val="00865505"/>
    <w:rsid w:val="00865F3F"/>
    <w:rsid w:val="00870702"/>
    <w:rsid w:val="008745D9"/>
    <w:rsid w:val="00875D67"/>
    <w:rsid w:val="00880A3A"/>
    <w:rsid w:val="00881C73"/>
    <w:rsid w:val="008827B4"/>
    <w:rsid w:val="00886300"/>
    <w:rsid w:val="00892D25"/>
    <w:rsid w:val="00893A2A"/>
    <w:rsid w:val="00894A7E"/>
    <w:rsid w:val="00894DBF"/>
    <w:rsid w:val="008954F0"/>
    <w:rsid w:val="008A4FB2"/>
    <w:rsid w:val="008A6773"/>
    <w:rsid w:val="008B140C"/>
    <w:rsid w:val="008B4AEE"/>
    <w:rsid w:val="008B748D"/>
    <w:rsid w:val="008B7E6C"/>
    <w:rsid w:val="008C1C80"/>
    <w:rsid w:val="008C3F5D"/>
    <w:rsid w:val="008C6C23"/>
    <w:rsid w:val="008C7647"/>
    <w:rsid w:val="008E1717"/>
    <w:rsid w:val="008E1998"/>
    <w:rsid w:val="008E2925"/>
    <w:rsid w:val="008E30B6"/>
    <w:rsid w:val="008E44BE"/>
    <w:rsid w:val="008E6001"/>
    <w:rsid w:val="008F0B48"/>
    <w:rsid w:val="008F187E"/>
    <w:rsid w:val="008F243B"/>
    <w:rsid w:val="00900578"/>
    <w:rsid w:val="009016E0"/>
    <w:rsid w:val="00902477"/>
    <w:rsid w:val="009043F3"/>
    <w:rsid w:val="00905AF9"/>
    <w:rsid w:val="00906AB0"/>
    <w:rsid w:val="00907D4F"/>
    <w:rsid w:val="009116C6"/>
    <w:rsid w:val="00911F1E"/>
    <w:rsid w:val="009139D9"/>
    <w:rsid w:val="00914A2C"/>
    <w:rsid w:val="00920ED5"/>
    <w:rsid w:val="009212FC"/>
    <w:rsid w:val="00922330"/>
    <w:rsid w:val="00923461"/>
    <w:rsid w:val="0092356E"/>
    <w:rsid w:val="0092654E"/>
    <w:rsid w:val="0093046E"/>
    <w:rsid w:val="009317C8"/>
    <w:rsid w:val="00932059"/>
    <w:rsid w:val="00932079"/>
    <w:rsid w:val="009325F2"/>
    <w:rsid w:val="00932829"/>
    <w:rsid w:val="009369AF"/>
    <w:rsid w:val="009379EF"/>
    <w:rsid w:val="00937FE9"/>
    <w:rsid w:val="009415AD"/>
    <w:rsid w:val="00941C69"/>
    <w:rsid w:val="00945F10"/>
    <w:rsid w:val="00950526"/>
    <w:rsid w:val="00954756"/>
    <w:rsid w:val="00965F30"/>
    <w:rsid w:val="00966343"/>
    <w:rsid w:val="009718E1"/>
    <w:rsid w:val="00972B85"/>
    <w:rsid w:val="0097474A"/>
    <w:rsid w:val="00976633"/>
    <w:rsid w:val="00976954"/>
    <w:rsid w:val="00977ED8"/>
    <w:rsid w:val="0098013B"/>
    <w:rsid w:val="00981290"/>
    <w:rsid w:val="009814B0"/>
    <w:rsid w:val="00981A90"/>
    <w:rsid w:val="00984E8A"/>
    <w:rsid w:val="00985E95"/>
    <w:rsid w:val="009A2DFA"/>
    <w:rsid w:val="009A31CE"/>
    <w:rsid w:val="009A485A"/>
    <w:rsid w:val="009A52B5"/>
    <w:rsid w:val="009A7D6C"/>
    <w:rsid w:val="009B1C19"/>
    <w:rsid w:val="009B28B2"/>
    <w:rsid w:val="009B4C1A"/>
    <w:rsid w:val="009C1DEE"/>
    <w:rsid w:val="009C2828"/>
    <w:rsid w:val="009C3492"/>
    <w:rsid w:val="009C5699"/>
    <w:rsid w:val="009C6A26"/>
    <w:rsid w:val="009D23D5"/>
    <w:rsid w:val="009D4C22"/>
    <w:rsid w:val="009D52AA"/>
    <w:rsid w:val="009D6EF9"/>
    <w:rsid w:val="009D7A31"/>
    <w:rsid w:val="009E0E48"/>
    <w:rsid w:val="009E199B"/>
    <w:rsid w:val="009E2F4A"/>
    <w:rsid w:val="009E3CC4"/>
    <w:rsid w:val="009E685E"/>
    <w:rsid w:val="009E786C"/>
    <w:rsid w:val="009E7DA0"/>
    <w:rsid w:val="009F1FF8"/>
    <w:rsid w:val="009F2939"/>
    <w:rsid w:val="009F7BAD"/>
    <w:rsid w:val="00A012B8"/>
    <w:rsid w:val="00A01CE3"/>
    <w:rsid w:val="00A03531"/>
    <w:rsid w:val="00A10EE2"/>
    <w:rsid w:val="00A12D6A"/>
    <w:rsid w:val="00A177AD"/>
    <w:rsid w:val="00A2299E"/>
    <w:rsid w:val="00A338D6"/>
    <w:rsid w:val="00A35376"/>
    <w:rsid w:val="00A35916"/>
    <w:rsid w:val="00A35F92"/>
    <w:rsid w:val="00A3751F"/>
    <w:rsid w:val="00A40E4C"/>
    <w:rsid w:val="00A40F1B"/>
    <w:rsid w:val="00A40F67"/>
    <w:rsid w:val="00A42920"/>
    <w:rsid w:val="00A455A6"/>
    <w:rsid w:val="00A4576B"/>
    <w:rsid w:val="00A4799C"/>
    <w:rsid w:val="00A515A2"/>
    <w:rsid w:val="00A519FF"/>
    <w:rsid w:val="00A522C1"/>
    <w:rsid w:val="00A52AFD"/>
    <w:rsid w:val="00A53FEF"/>
    <w:rsid w:val="00A541EB"/>
    <w:rsid w:val="00A554FE"/>
    <w:rsid w:val="00A5641E"/>
    <w:rsid w:val="00A57672"/>
    <w:rsid w:val="00A63773"/>
    <w:rsid w:val="00A64193"/>
    <w:rsid w:val="00A647E5"/>
    <w:rsid w:val="00A649D0"/>
    <w:rsid w:val="00A667F7"/>
    <w:rsid w:val="00A74C4F"/>
    <w:rsid w:val="00A763AE"/>
    <w:rsid w:val="00A76495"/>
    <w:rsid w:val="00A82A47"/>
    <w:rsid w:val="00A840DD"/>
    <w:rsid w:val="00A87B69"/>
    <w:rsid w:val="00A87F4E"/>
    <w:rsid w:val="00A91291"/>
    <w:rsid w:val="00A92B56"/>
    <w:rsid w:val="00A94597"/>
    <w:rsid w:val="00A95208"/>
    <w:rsid w:val="00A9583E"/>
    <w:rsid w:val="00AA5BD0"/>
    <w:rsid w:val="00AB23C4"/>
    <w:rsid w:val="00AB6981"/>
    <w:rsid w:val="00AB7548"/>
    <w:rsid w:val="00AB762A"/>
    <w:rsid w:val="00AB78FE"/>
    <w:rsid w:val="00AC0103"/>
    <w:rsid w:val="00AC6CD3"/>
    <w:rsid w:val="00AC6DE5"/>
    <w:rsid w:val="00AD0989"/>
    <w:rsid w:val="00AD3AA4"/>
    <w:rsid w:val="00AE30B7"/>
    <w:rsid w:val="00AE5A4F"/>
    <w:rsid w:val="00AE683E"/>
    <w:rsid w:val="00AE6ADE"/>
    <w:rsid w:val="00AE759C"/>
    <w:rsid w:val="00AF0E14"/>
    <w:rsid w:val="00B0035B"/>
    <w:rsid w:val="00B0351F"/>
    <w:rsid w:val="00B0415F"/>
    <w:rsid w:val="00B07617"/>
    <w:rsid w:val="00B12DDA"/>
    <w:rsid w:val="00B16A14"/>
    <w:rsid w:val="00B30493"/>
    <w:rsid w:val="00B30627"/>
    <w:rsid w:val="00B3247E"/>
    <w:rsid w:val="00B369D3"/>
    <w:rsid w:val="00B43293"/>
    <w:rsid w:val="00B445E6"/>
    <w:rsid w:val="00B4591E"/>
    <w:rsid w:val="00B46D84"/>
    <w:rsid w:val="00B5306D"/>
    <w:rsid w:val="00B55A9F"/>
    <w:rsid w:val="00B66E83"/>
    <w:rsid w:val="00B67EF2"/>
    <w:rsid w:val="00B70690"/>
    <w:rsid w:val="00B728BF"/>
    <w:rsid w:val="00B7416E"/>
    <w:rsid w:val="00B77EA1"/>
    <w:rsid w:val="00B77F12"/>
    <w:rsid w:val="00B81072"/>
    <w:rsid w:val="00B83159"/>
    <w:rsid w:val="00B86A1F"/>
    <w:rsid w:val="00B9142C"/>
    <w:rsid w:val="00B91738"/>
    <w:rsid w:val="00B9369C"/>
    <w:rsid w:val="00B93B5D"/>
    <w:rsid w:val="00B97A3D"/>
    <w:rsid w:val="00BA0968"/>
    <w:rsid w:val="00BA1114"/>
    <w:rsid w:val="00BA179B"/>
    <w:rsid w:val="00BA275C"/>
    <w:rsid w:val="00BA2A53"/>
    <w:rsid w:val="00BA5EF4"/>
    <w:rsid w:val="00BB528C"/>
    <w:rsid w:val="00BB5E52"/>
    <w:rsid w:val="00BB648A"/>
    <w:rsid w:val="00BB7A59"/>
    <w:rsid w:val="00BC1DC6"/>
    <w:rsid w:val="00BC29F9"/>
    <w:rsid w:val="00BC65B6"/>
    <w:rsid w:val="00BC75A5"/>
    <w:rsid w:val="00BC7FA0"/>
    <w:rsid w:val="00BD06DD"/>
    <w:rsid w:val="00BD1413"/>
    <w:rsid w:val="00BD1B97"/>
    <w:rsid w:val="00BD2306"/>
    <w:rsid w:val="00BE210B"/>
    <w:rsid w:val="00BE76AD"/>
    <w:rsid w:val="00BF08F3"/>
    <w:rsid w:val="00BF25FF"/>
    <w:rsid w:val="00BF34B0"/>
    <w:rsid w:val="00BF3EDD"/>
    <w:rsid w:val="00BF557B"/>
    <w:rsid w:val="00BF5D66"/>
    <w:rsid w:val="00BF77A6"/>
    <w:rsid w:val="00C0016B"/>
    <w:rsid w:val="00C01727"/>
    <w:rsid w:val="00C0238E"/>
    <w:rsid w:val="00C02C0F"/>
    <w:rsid w:val="00C0531E"/>
    <w:rsid w:val="00C15A3B"/>
    <w:rsid w:val="00C162E7"/>
    <w:rsid w:val="00C177B5"/>
    <w:rsid w:val="00C2019D"/>
    <w:rsid w:val="00C21BA5"/>
    <w:rsid w:val="00C233BA"/>
    <w:rsid w:val="00C23464"/>
    <w:rsid w:val="00C239B0"/>
    <w:rsid w:val="00C24DE0"/>
    <w:rsid w:val="00C2690D"/>
    <w:rsid w:val="00C27E21"/>
    <w:rsid w:val="00C31D83"/>
    <w:rsid w:val="00C33781"/>
    <w:rsid w:val="00C377BD"/>
    <w:rsid w:val="00C4389C"/>
    <w:rsid w:val="00C464CA"/>
    <w:rsid w:val="00C46DC1"/>
    <w:rsid w:val="00C47EFC"/>
    <w:rsid w:val="00C53DFD"/>
    <w:rsid w:val="00C53E4E"/>
    <w:rsid w:val="00C54637"/>
    <w:rsid w:val="00C628DD"/>
    <w:rsid w:val="00C67053"/>
    <w:rsid w:val="00C67122"/>
    <w:rsid w:val="00C67E87"/>
    <w:rsid w:val="00C70F5F"/>
    <w:rsid w:val="00C7408F"/>
    <w:rsid w:val="00C746B1"/>
    <w:rsid w:val="00C771C0"/>
    <w:rsid w:val="00C77F47"/>
    <w:rsid w:val="00C826AE"/>
    <w:rsid w:val="00C82B27"/>
    <w:rsid w:val="00C831B6"/>
    <w:rsid w:val="00C833E4"/>
    <w:rsid w:val="00C85C55"/>
    <w:rsid w:val="00C8701D"/>
    <w:rsid w:val="00C914F4"/>
    <w:rsid w:val="00C93A72"/>
    <w:rsid w:val="00C95914"/>
    <w:rsid w:val="00C96899"/>
    <w:rsid w:val="00C96A38"/>
    <w:rsid w:val="00C97930"/>
    <w:rsid w:val="00CA08A3"/>
    <w:rsid w:val="00CA142F"/>
    <w:rsid w:val="00CA20AF"/>
    <w:rsid w:val="00CA41E1"/>
    <w:rsid w:val="00CA4618"/>
    <w:rsid w:val="00CA5F81"/>
    <w:rsid w:val="00CA6241"/>
    <w:rsid w:val="00CA6B4C"/>
    <w:rsid w:val="00CB1443"/>
    <w:rsid w:val="00CB16B4"/>
    <w:rsid w:val="00CB215C"/>
    <w:rsid w:val="00CB26F3"/>
    <w:rsid w:val="00CB3BF4"/>
    <w:rsid w:val="00CB555A"/>
    <w:rsid w:val="00CB6FD2"/>
    <w:rsid w:val="00CC00BC"/>
    <w:rsid w:val="00CC1CC1"/>
    <w:rsid w:val="00CD0A72"/>
    <w:rsid w:val="00CD1928"/>
    <w:rsid w:val="00CD1FC1"/>
    <w:rsid w:val="00CD4540"/>
    <w:rsid w:val="00CE1277"/>
    <w:rsid w:val="00CE2FE5"/>
    <w:rsid w:val="00CE3889"/>
    <w:rsid w:val="00CE39CB"/>
    <w:rsid w:val="00CE73C7"/>
    <w:rsid w:val="00CF0F3C"/>
    <w:rsid w:val="00CF5E8D"/>
    <w:rsid w:val="00CF6F54"/>
    <w:rsid w:val="00CF7580"/>
    <w:rsid w:val="00D004C3"/>
    <w:rsid w:val="00D004FC"/>
    <w:rsid w:val="00D058DE"/>
    <w:rsid w:val="00D05AE4"/>
    <w:rsid w:val="00D06BD0"/>
    <w:rsid w:val="00D1094B"/>
    <w:rsid w:val="00D11C3B"/>
    <w:rsid w:val="00D149FA"/>
    <w:rsid w:val="00D1535A"/>
    <w:rsid w:val="00D20136"/>
    <w:rsid w:val="00D22D0A"/>
    <w:rsid w:val="00D22DAF"/>
    <w:rsid w:val="00D2413C"/>
    <w:rsid w:val="00D24D01"/>
    <w:rsid w:val="00D304D1"/>
    <w:rsid w:val="00D3431D"/>
    <w:rsid w:val="00D3473B"/>
    <w:rsid w:val="00D3665D"/>
    <w:rsid w:val="00D369BD"/>
    <w:rsid w:val="00D43577"/>
    <w:rsid w:val="00D46554"/>
    <w:rsid w:val="00D551DC"/>
    <w:rsid w:val="00D60EFD"/>
    <w:rsid w:val="00D61BC0"/>
    <w:rsid w:val="00D64B5C"/>
    <w:rsid w:val="00D67A54"/>
    <w:rsid w:val="00D70AE3"/>
    <w:rsid w:val="00D75ECA"/>
    <w:rsid w:val="00D80A5E"/>
    <w:rsid w:val="00D80E86"/>
    <w:rsid w:val="00D8167B"/>
    <w:rsid w:val="00D82B30"/>
    <w:rsid w:val="00D82D5D"/>
    <w:rsid w:val="00D86C9B"/>
    <w:rsid w:val="00D91D21"/>
    <w:rsid w:val="00D91F61"/>
    <w:rsid w:val="00D92261"/>
    <w:rsid w:val="00D9379E"/>
    <w:rsid w:val="00D95DBA"/>
    <w:rsid w:val="00D96CC9"/>
    <w:rsid w:val="00D976E8"/>
    <w:rsid w:val="00D979B0"/>
    <w:rsid w:val="00D97FC4"/>
    <w:rsid w:val="00DA021D"/>
    <w:rsid w:val="00DA077E"/>
    <w:rsid w:val="00DA14D7"/>
    <w:rsid w:val="00DA1AEA"/>
    <w:rsid w:val="00DA4960"/>
    <w:rsid w:val="00DA52EA"/>
    <w:rsid w:val="00DA71C5"/>
    <w:rsid w:val="00DB30FD"/>
    <w:rsid w:val="00DB351A"/>
    <w:rsid w:val="00DC05AE"/>
    <w:rsid w:val="00DC0E05"/>
    <w:rsid w:val="00DC1E4F"/>
    <w:rsid w:val="00DC5558"/>
    <w:rsid w:val="00DD1C48"/>
    <w:rsid w:val="00DD1F9A"/>
    <w:rsid w:val="00DD27C2"/>
    <w:rsid w:val="00DD3246"/>
    <w:rsid w:val="00DD42AB"/>
    <w:rsid w:val="00DD432C"/>
    <w:rsid w:val="00DE041A"/>
    <w:rsid w:val="00DE04DB"/>
    <w:rsid w:val="00DE117B"/>
    <w:rsid w:val="00DE4EDB"/>
    <w:rsid w:val="00DE5810"/>
    <w:rsid w:val="00DE6697"/>
    <w:rsid w:val="00DE7D37"/>
    <w:rsid w:val="00DE7F4C"/>
    <w:rsid w:val="00DF202F"/>
    <w:rsid w:val="00DF2304"/>
    <w:rsid w:val="00DF2821"/>
    <w:rsid w:val="00DF4739"/>
    <w:rsid w:val="00DF556A"/>
    <w:rsid w:val="00DF7714"/>
    <w:rsid w:val="00DF7FF0"/>
    <w:rsid w:val="00E00219"/>
    <w:rsid w:val="00E00559"/>
    <w:rsid w:val="00E01CAE"/>
    <w:rsid w:val="00E025F1"/>
    <w:rsid w:val="00E029A2"/>
    <w:rsid w:val="00E13106"/>
    <w:rsid w:val="00E15231"/>
    <w:rsid w:val="00E208BB"/>
    <w:rsid w:val="00E2248A"/>
    <w:rsid w:val="00E30E38"/>
    <w:rsid w:val="00E358F3"/>
    <w:rsid w:val="00E363DE"/>
    <w:rsid w:val="00E37087"/>
    <w:rsid w:val="00E42433"/>
    <w:rsid w:val="00E43358"/>
    <w:rsid w:val="00E43BE9"/>
    <w:rsid w:val="00E44312"/>
    <w:rsid w:val="00E44C1A"/>
    <w:rsid w:val="00E479A1"/>
    <w:rsid w:val="00E47B65"/>
    <w:rsid w:val="00E535B8"/>
    <w:rsid w:val="00E56503"/>
    <w:rsid w:val="00E574A3"/>
    <w:rsid w:val="00E57E0C"/>
    <w:rsid w:val="00E604FE"/>
    <w:rsid w:val="00E60538"/>
    <w:rsid w:val="00E621E9"/>
    <w:rsid w:val="00E66131"/>
    <w:rsid w:val="00E66803"/>
    <w:rsid w:val="00E66F2A"/>
    <w:rsid w:val="00E67C3B"/>
    <w:rsid w:val="00E703AB"/>
    <w:rsid w:val="00E72C71"/>
    <w:rsid w:val="00E74A26"/>
    <w:rsid w:val="00E80987"/>
    <w:rsid w:val="00E815C8"/>
    <w:rsid w:val="00E81814"/>
    <w:rsid w:val="00E8273E"/>
    <w:rsid w:val="00E831B5"/>
    <w:rsid w:val="00E83871"/>
    <w:rsid w:val="00E839FA"/>
    <w:rsid w:val="00E84749"/>
    <w:rsid w:val="00E84936"/>
    <w:rsid w:val="00E85D29"/>
    <w:rsid w:val="00E903B8"/>
    <w:rsid w:val="00E91E84"/>
    <w:rsid w:val="00E9513C"/>
    <w:rsid w:val="00E952B2"/>
    <w:rsid w:val="00EA53E5"/>
    <w:rsid w:val="00EA7B12"/>
    <w:rsid w:val="00EB1134"/>
    <w:rsid w:val="00EB1725"/>
    <w:rsid w:val="00EB2A04"/>
    <w:rsid w:val="00EB4412"/>
    <w:rsid w:val="00EB44C5"/>
    <w:rsid w:val="00EB73BF"/>
    <w:rsid w:val="00EB7AB1"/>
    <w:rsid w:val="00EC364A"/>
    <w:rsid w:val="00EC7FC4"/>
    <w:rsid w:val="00ED2B1E"/>
    <w:rsid w:val="00ED2BB8"/>
    <w:rsid w:val="00ED50DF"/>
    <w:rsid w:val="00EE1942"/>
    <w:rsid w:val="00EE2EA0"/>
    <w:rsid w:val="00EE471E"/>
    <w:rsid w:val="00EE4798"/>
    <w:rsid w:val="00EE774D"/>
    <w:rsid w:val="00EF125E"/>
    <w:rsid w:val="00EF1861"/>
    <w:rsid w:val="00EF352B"/>
    <w:rsid w:val="00EF79A7"/>
    <w:rsid w:val="00F0219F"/>
    <w:rsid w:val="00F028B3"/>
    <w:rsid w:val="00F033EA"/>
    <w:rsid w:val="00F047B9"/>
    <w:rsid w:val="00F11F18"/>
    <w:rsid w:val="00F129BA"/>
    <w:rsid w:val="00F12C15"/>
    <w:rsid w:val="00F20279"/>
    <w:rsid w:val="00F20A61"/>
    <w:rsid w:val="00F227F1"/>
    <w:rsid w:val="00F30EDB"/>
    <w:rsid w:val="00F328EE"/>
    <w:rsid w:val="00F35683"/>
    <w:rsid w:val="00F35D6D"/>
    <w:rsid w:val="00F43B93"/>
    <w:rsid w:val="00F45F24"/>
    <w:rsid w:val="00F5151F"/>
    <w:rsid w:val="00F5214B"/>
    <w:rsid w:val="00F55BAA"/>
    <w:rsid w:val="00F56B1A"/>
    <w:rsid w:val="00F576FB"/>
    <w:rsid w:val="00F60612"/>
    <w:rsid w:val="00F72170"/>
    <w:rsid w:val="00F723EE"/>
    <w:rsid w:val="00F7497C"/>
    <w:rsid w:val="00F75A60"/>
    <w:rsid w:val="00F761A5"/>
    <w:rsid w:val="00F76C62"/>
    <w:rsid w:val="00F77007"/>
    <w:rsid w:val="00F83ACC"/>
    <w:rsid w:val="00F83C55"/>
    <w:rsid w:val="00F848F3"/>
    <w:rsid w:val="00F87850"/>
    <w:rsid w:val="00F90945"/>
    <w:rsid w:val="00F96DC1"/>
    <w:rsid w:val="00F9736F"/>
    <w:rsid w:val="00FA3268"/>
    <w:rsid w:val="00FB0554"/>
    <w:rsid w:val="00FB2B5D"/>
    <w:rsid w:val="00FB4786"/>
    <w:rsid w:val="00FB4879"/>
    <w:rsid w:val="00FB4C14"/>
    <w:rsid w:val="00FC0829"/>
    <w:rsid w:val="00FC39FE"/>
    <w:rsid w:val="00FC3D63"/>
    <w:rsid w:val="00FC465F"/>
    <w:rsid w:val="00FD31E6"/>
    <w:rsid w:val="00FD3BF8"/>
    <w:rsid w:val="00FD4874"/>
    <w:rsid w:val="00FD5D12"/>
    <w:rsid w:val="00FE2195"/>
    <w:rsid w:val="00FE6308"/>
    <w:rsid w:val="00FE6464"/>
    <w:rsid w:val="00FE7679"/>
    <w:rsid w:val="00FF009B"/>
    <w:rsid w:val="00FF0758"/>
    <w:rsid w:val="00FF0EF9"/>
    <w:rsid w:val="00FF1D53"/>
    <w:rsid w:val="00FF2184"/>
    <w:rsid w:val="00FF2DEC"/>
    <w:rsid w:val="00FF3A5A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13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F54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eastAsia="Times New Roman" w:hAnsi="Calibri" w:cs="Calibri"/>
      <w:color w:val="00000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61BC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bekezdsstlus">
    <w:name w:val="[Nincs bekezdésstílus]"/>
    <w:rsid w:val="00CF6F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">
    <w:name w:val="szöveg"/>
    <w:basedOn w:val="Nincsbekezdsstlus"/>
    <w:uiPriority w:val="99"/>
    <w:rsid w:val="00CF6F54"/>
    <w:pPr>
      <w:spacing w:after="113" w:line="252" w:lineRule="atLeast"/>
    </w:pPr>
    <w:rPr>
      <w:rFonts w:ascii="Minion Pro" w:hAnsi="Minion Pro" w:cs="Minion Pro"/>
      <w:spacing w:val="1"/>
      <w:sz w:val="20"/>
      <w:szCs w:val="20"/>
    </w:rPr>
  </w:style>
  <w:style w:type="paragraph" w:customStyle="1" w:styleId="211alcm">
    <w:name w:val="2 1.1 alcím"/>
    <w:basedOn w:val="Nincsbekezdsstlus"/>
    <w:uiPriority w:val="99"/>
    <w:rsid w:val="00CF6F54"/>
    <w:pPr>
      <w:suppressAutoHyphens/>
      <w:spacing w:before="365" w:after="113" w:line="252" w:lineRule="atLeast"/>
    </w:pPr>
    <w:rPr>
      <w:rFonts w:ascii="Myriad Pro" w:hAnsi="Myriad Pro" w:cs="Myriad Pro"/>
      <w:b/>
      <w:bCs/>
      <w:caps/>
      <w:sz w:val="20"/>
      <w:szCs w:val="20"/>
    </w:rPr>
  </w:style>
  <w:style w:type="paragraph" w:customStyle="1" w:styleId="felsorolsABC0mm">
    <w:name w:val="felsorolás ABC 0mm"/>
    <w:basedOn w:val="Nincsbekezdsstlus"/>
    <w:uiPriority w:val="99"/>
    <w:rsid w:val="00CF6F54"/>
    <w:pPr>
      <w:spacing w:line="252" w:lineRule="atLeast"/>
      <w:ind w:left="454" w:hanging="283"/>
    </w:pPr>
    <w:rPr>
      <w:rFonts w:ascii="Minion Pro" w:hAnsi="Minion Pro" w:cs="Minion Pro"/>
      <w:sz w:val="20"/>
      <w:szCs w:val="20"/>
    </w:rPr>
  </w:style>
  <w:style w:type="paragraph" w:customStyle="1" w:styleId="felsorolsABC2mm">
    <w:name w:val="felsorolás ABC 2mm"/>
    <w:basedOn w:val="Nincsbekezdsstlus"/>
    <w:uiPriority w:val="99"/>
    <w:rsid w:val="00CF6F54"/>
    <w:pPr>
      <w:spacing w:after="113" w:line="252" w:lineRule="atLeast"/>
      <w:ind w:left="454" w:hanging="283"/>
    </w:pPr>
    <w:rPr>
      <w:rFonts w:ascii="Minion Pro" w:hAnsi="Minion Pro" w:cs="Minion Pro"/>
      <w:sz w:val="20"/>
      <w:szCs w:val="20"/>
    </w:rPr>
  </w:style>
  <w:style w:type="paragraph" w:customStyle="1" w:styleId="tblafejkzp">
    <w:name w:val="táblafej közép"/>
    <w:basedOn w:val="Nincsbekezdsstlus"/>
    <w:uiPriority w:val="99"/>
    <w:rsid w:val="00CF6F54"/>
    <w:pPr>
      <w:keepNext/>
      <w:keepLines/>
      <w:suppressAutoHyphens/>
      <w:spacing w:line="240" w:lineRule="atLeast"/>
      <w:jc w:val="center"/>
    </w:pPr>
    <w:rPr>
      <w:rFonts w:ascii="Myriad Pro" w:hAnsi="Myriad Pro" w:cs="Myriad Pro"/>
      <w:b/>
      <w:bCs/>
      <w:sz w:val="20"/>
      <w:szCs w:val="20"/>
    </w:rPr>
  </w:style>
  <w:style w:type="paragraph" w:customStyle="1" w:styleId="tblabal">
    <w:name w:val="táblabal"/>
    <w:basedOn w:val="Nincsbekezdsstlus"/>
    <w:uiPriority w:val="99"/>
    <w:rsid w:val="00CF6F54"/>
    <w:rPr>
      <w:rFonts w:ascii="MyriadPro-Light" w:hAnsi="MyriadPro-Light" w:cs="MyriadPro-Light"/>
      <w:sz w:val="20"/>
      <w:szCs w:val="20"/>
    </w:rPr>
  </w:style>
  <w:style w:type="character" w:customStyle="1" w:styleId="kvr">
    <w:name w:val="kövér"/>
    <w:uiPriority w:val="99"/>
    <w:rsid w:val="00CF6F54"/>
    <w:rPr>
      <w:b/>
    </w:rPr>
  </w:style>
  <w:style w:type="character" w:customStyle="1" w:styleId="kurzv">
    <w:name w:val="kurzív"/>
    <w:uiPriority w:val="99"/>
    <w:rsid w:val="00CF6F54"/>
    <w:rPr>
      <w:i/>
    </w:rPr>
  </w:style>
  <w:style w:type="character" w:customStyle="1" w:styleId="flkvrkurzv">
    <w:name w:val="félkövér kurzív"/>
    <w:uiPriority w:val="99"/>
    <w:rsid w:val="00CF6F54"/>
    <w:rPr>
      <w:b/>
      <w:i/>
    </w:rPr>
  </w:style>
  <w:style w:type="character" w:styleId="Hiperhivatkozs">
    <w:name w:val="Hyperlink"/>
    <w:basedOn w:val="Bekezdsalapbettpusa"/>
    <w:uiPriority w:val="99"/>
    <w:semiHidden/>
    <w:unhideWhenUsed/>
    <w:rsid w:val="007A465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3F5D"/>
    <w:rPr>
      <w:rFonts w:ascii="Calibri" w:eastAsia="Times New Roman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F5D"/>
    <w:rPr>
      <w:rFonts w:ascii="Calibri" w:eastAsia="Times New Roman" w:hAnsi="Calibri" w:cs="Calibri"/>
      <w:color w:val="000000"/>
      <w:lang w:eastAsia="hu-HU"/>
    </w:rPr>
  </w:style>
  <w:style w:type="paragraph" w:customStyle="1" w:styleId="Default">
    <w:name w:val="Default"/>
    <w:rsid w:val="00A1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1AF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8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821"/>
    <w:rPr>
      <w:rFonts w:ascii="Calibri" w:eastAsia="Times New Roman" w:hAnsi="Calibri" w:cs="Calibri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F2821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6252A5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252A5"/>
    <w:rPr>
      <w:rFonts w:ascii="EUAlbertina" w:hAnsi="EUAlbertina" w:cstheme="minorBidi"/>
      <w:color w:val="auto"/>
    </w:rPr>
  </w:style>
  <w:style w:type="paragraph" w:styleId="NormlWeb">
    <w:name w:val="Normal (Web)"/>
    <w:basedOn w:val="Norml"/>
    <w:uiPriority w:val="99"/>
    <w:unhideWhenUsed/>
    <w:rsid w:val="00945F1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Kiemels">
    <w:name w:val="Emphasis"/>
    <w:basedOn w:val="Bekezdsalapbettpusa"/>
    <w:uiPriority w:val="20"/>
    <w:qFormat/>
    <w:rsid w:val="00945F1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D61B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0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9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94B"/>
    <w:rPr>
      <w:rFonts w:ascii="Calibri" w:eastAsia="Times New Roman" w:hAnsi="Calibri" w:cs="Calibri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94B"/>
    <w:rPr>
      <w:rFonts w:ascii="Calibri" w:eastAsia="Times New Roman" w:hAnsi="Calibri" w:cs="Calibri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94B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13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F54"/>
    <w:pPr>
      <w:widowControl w:val="0"/>
      <w:suppressAutoHyphens/>
      <w:autoSpaceDE w:val="0"/>
      <w:autoSpaceDN w:val="0"/>
      <w:adjustRightInd w:val="0"/>
      <w:spacing w:line="264" w:lineRule="auto"/>
      <w:textAlignment w:val="center"/>
    </w:pPr>
    <w:rPr>
      <w:rFonts w:ascii="Calibri" w:eastAsia="Times New Roman" w:hAnsi="Calibri" w:cs="Calibri"/>
      <w:color w:val="00000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61BC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incsbekezdsstlus">
    <w:name w:val="[Nincs bekezdésstílus]"/>
    <w:rsid w:val="00CF6F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">
    <w:name w:val="szöveg"/>
    <w:basedOn w:val="Nincsbekezdsstlus"/>
    <w:uiPriority w:val="99"/>
    <w:rsid w:val="00CF6F54"/>
    <w:pPr>
      <w:spacing w:after="113" w:line="252" w:lineRule="atLeast"/>
    </w:pPr>
    <w:rPr>
      <w:rFonts w:ascii="Minion Pro" w:hAnsi="Minion Pro" w:cs="Minion Pro"/>
      <w:spacing w:val="1"/>
      <w:sz w:val="20"/>
      <w:szCs w:val="20"/>
    </w:rPr>
  </w:style>
  <w:style w:type="paragraph" w:customStyle="1" w:styleId="211alcm">
    <w:name w:val="2 1.1 alcím"/>
    <w:basedOn w:val="Nincsbekezdsstlus"/>
    <w:uiPriority w:val="99"/>
    <w:rsid w:val="00CF6F54"/>
    <w:pPr>
      <w:suppressAutoHyphens/>
      <w:spacing w:before="365" w:after="113" w:line="252" w:lineRule="atLeast"/>
    </w:pPr>
    <w:rPr>
      <w:rFonts w:ascii="Myriad Pro" w:hAnsi="Myriad Pro" w:cs="Myriad Pro"/>
      <w:b/>
      <w:bCs/>
      <w:caps/>
      <w:sz w:val="20"/>
      <w:szCs w:val="20"/>
    </w:rPr>
  </w:style>
  <w:style w:type="paragraph" w:customStyle="1" w:styleId="felsorolsABC0mm">
    <w:name w:val="felsorolás ABC 0mm"/>
    <w:basedOn w:val="Nincsbekezdsstlus"/>
    <w:uiPriority w:val="99"/>
    <w:rsid w:val="00CF6F54"/>
    <w:pPr>
      <w:spacing w:line="252" w:lineRule="atLeast"/>
      <w:ind w:left="454" w:hanging="283"/>
    </w:pPr>
    <w:rPr>
      <w:rFonts w:ascii="Minion Pro" w:hAnsi="Minion Pro" w:cs="Minion Pro"/>
      <w:sz w:val="20"/>
      <w:szCs w:val="20"/>
    </w:rPr>
  </w:style>
  <w:style w:type="paragraph" w:customStyle="1" w:styleId="felsorolsABC2mm">
    <w:name w:val="felsorolás ABC 2mm"/>
    <w:basedOn w:val="Nincsbekezdsstlus"/>
    <w:uiPriority w:val="99"/>
    <w:rsid w:val="00CF6F54"/>
    <w:pPr>
      <w:spacing w:after="113" w:line="252" w:lineRule="atLeast"/>
      <w:ind w:left="454" w:hanging="283"/>
    </w:pPr>
    <w:rPr>
      <w:rFonts w:ascii="Minion Pro" w:hAnsi="Minion Pro" w:cs="Minion Pro"/>
      <w:sz w:val="20"/>
      <w:szCs w:val="20"/>
    </w:rPr>
  </w:style>
  <w:style w:type="paragraph" w:customStyle="1" w:styleId="tblafejkzp">
    <w:name w:val="táblafej közép"/>
    <w:basedOn w:val="Nincsbekezdsstlus"/>
    <w:uiPriority w:val="99"/>
    <w:rsid w:val="00CF6F54"/>
    <w:pPr>
      <w:keepNext/>
      <w:keepLines/>
      <w:suppressAutoHyphens/>
      <w:spacing w:line="240" w:lineRule="atLeast"/>
      <w:jc w:val="center"/>
    </w:pPr>
    <w:rPr>
      <w:rFonts w:ascii="Myriad Pro" w:hAnsi="Myriad Pro" w:cs="Myriad Pro"/>
      <w:b/>
      <w:bCs/>
      <w:sz w:val="20"/>
      <w:szCs w:val="20"/>
    </w:rPr>
  </w:style>
  <w:style w:type="paragraph" w:customStyle="1" w:styleId="tblabal">
    <w:name w:val="táblabal"/>
    <w:basedOn w:val="Nincsbekezdsstlus"/>
    <w:uiPriority w:val="99"/>
    <w:rsid w:val="00CF6F54"/>
    <w:rPr>
      <w:rFonts w:ascii="MyriadPro-Light" w:hAnsi="MyriadPro-Light" w:cs="MyriadPro-Light"/>
      <w:sz w:val="20"/>
      <w:szCs w:val="20"/>
    </w:rPr>
  </w:style>
  <w:style w:type="character" w:customStyle="1" w:styleId="kvr">
    <w:name w:val="kövér"/>
    <w:uiPriority w:val="99"/>
    <w:rsid w:val="00CF6F54"/>
    <w:rPr>
      <w:b/>
    </w:rPr>
  </w:style>
  <w:style w:type="character" w:customStyle="1" w:styleId="kurzv">
    <w:name w:val="kurzív"/>
    <w:uiPriority w:val="99"/>
    <w:rsid w:val="00CF6F54"/>
    <w:rPr>
      <w:i/>
    </w:rPr>
  </w:style>
  <w:style w:type="character" w:customStyle="1" w:styleId="flkvrkurzv">
    <w:name w:val="félkövér kurzív"/>
    <w:uiPriority w:val="99"/>
    <w:rsid w:val="00CF6F54"/>
    <w:rPr>
      <w:b/>
      <w:i/>
    </w:rPr>
  </w:style>
  <w:style w:type="character" w:styleId="Hiperhivatkozs">
    <w:name w:val="Hyperlink"/>
    <w:basedOn w:val="Bekezdsalapbettpusa"/>
    <w:uiPriority w:val="99"/>
    <w:semiHidden/>
    <w:unhideWhenUsed/>
    <w:rsid w:val="007A465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C3F5D"/>
    <w:rPr>
      <w:rFonts w:ascii="Calibri" w:eastAsia="Times New Roman" w:hAnsi="Calibri" w:cs="Calibri"/>
      <w:color w:val="00000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C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F5D"/>
    <w:rPr>
      <w:rFonts w:ascii="Calibri" w:eastAsia="Times New Roman" w:hAnsi="Calibri" w:cs="Calibri"/>
      <w:color w:val="000000"/>
      <w:lang w:eastAsia="hu-HU"/>
    </w:rPr>
  </w:style>
  <w:style w:type="paragraph" w:customStyle="1" w:styleId="Default">
    <w:name w:val="Default"/>
    <w:rsid w:val="00A1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1AF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F28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F2821"/>
    <w:rPr>
      <w:rFonts w:ascii="Calibri" w:eastAsia="Times New Roman" w:hAnsi="Calibri" w:cs="Calibri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F2821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6252A5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252A5"/>
    <w:rPr>
      <w:rFonts w:ascii="EUAlbertina" w:hAnsi="EUAlbertina" w:cstheme="minorBidi"/>
      <w:color w:val="auto"/>
    </w:rPr>
  </w:style>
  <w:style w:type="paragraph" w:styleId="NormlWeb">
    <w:name w:val="Normal (Web)"/>
    <w:basedOn w:val="Norml"/>
    <w:uiPriority w:val="99"/>
    <w:unhideWhenUsed/>
    <w:rsid w:val="00945F10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styleId="Kiemels">
    <w:name w:val="Emphasis"/>
    <w:basedOn w:val="Bekezdsalapbettpusa"/>
    <w:uiPriority w:val="20"/>
    <w:qFormat/>
    <w:rsid w:val="00945F10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D61BC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09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9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94B"/>
    <w:rPr>
      <w:rFonts w:ascii="Calibri" w:eastAsia="Times New Roman" w:hAnsi="Calibri" w:cs="Calibri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9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94B"/>
    <w:rPr>
      <w:rFonts w:ascii="Calibri" w:eastAsia="Times New Roman" w:hAnsi="Calibri" w:cs="Calibri"/>
      <w:b/>
      <w:bCs/>
      <w:color w:val="00000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94B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75A2-BEE2-4677-9528-03015A65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3223</Words>
  <Characters>22243</Characters>
  <Application>Microsoft Office Word</Application>
  <DocSecurity>0</DocSecurity>
  <Lines>185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25416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Kókai-Kunné dr. Szabó Ágnes Katalin</cp:lastModifiedBy>
  <cp:revision>2</cp:revision>
  <cp:lastPrinted>2015-04-02T06:36:00Z</cp:lastPrinted>
  <dcterms:created xsi:type="dcterms:W3CDTF">2015-06-17T08:23:00Z</dcterms:created>
  <dcterms:modified xsi:type="dcterms:W3CDTF">2015-06-17T08:23:00Z</dcterms:modified>
</cp:coreProperties>
</file>